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6931A" w14:textId="77777777" w:rsidR="00356E30" w:rsidRPr="00B10FCC" w:rsidRDefault="00356E30" w:rsidP="00356E30">
      <w:pPr>
        <w:jc w:val="center"/>
        <w:rPr>
          <w:rFonts w:cstheme="minorHAnsi"/>
          <w:b/>
          <w:bCs/>
          <w:color w:val="4472C4" w:themeColor="accent1"/>
          <w:sz w:val="24"/>
          <w:szCs w:val="24"/>
        </w:rPr>
      </w:pPr>
    </w:p>
    <w:p w14:paraId="0FD60BC3" w14:textId="77777777" w:rsidR="00356E30" w:rsidRPr="00B10FCC" w:rsidRDefault="00356E30" w:rsidP="00356E30">
      <w:pPr>
        <w:jc w:val="center"/>
        <w:rPr>
          <w:rFonts w:cstheme="minorHAnsi"/>
          <w:b/>
          <w:bCs/>
          <w:color w:val="4472C4" w:themeColor="accent1"/>
          <w:sz w:val="24"/>
          <w:szCs w:val="24"/>
        </w:rPr>
      </w:pPr>
    </w:p>
    <w:p w14:paraId="218DFDFA" w14:textId="77777777" w:rsidR="00356E30" w:rsidRPr="00B10FCC" w:rsidRDefault="00356E30" w:rsidP="00356E30">
      <w:pPr>
        <w:jc w:val="center"/>
        <w:rPr>
          <w:rFonts w:cstheme="minorHAnsi"/>
          <w:b/>
          <w:bCs/>
          <w:color w:val="4472C4" w:themeColor="accent1"/>
          <w:sz w:val="24"/>
          <w:szCs w:val="24"/>
        </w:rPr>
      </w:pPr>
    </w:p>
    <w:p w14:paraId="5F5513E5" w14:textId="77777777" w:rsidR="00356E30" w:rsidRPr="00B10FCC" w:rsidRDefault="00356E30" w:rsidP="00356E30">
      <w:pPr>
        <w:jc w:val="center"/>
        <w:rPr>
          <w:rFonts w:cstheme="minorHAnsi"/>
          <w:b/>
          <w:bCs/>
          <w:color w:val="4472C4" w:themeColor="accent1"/>
          <w:sz w:val="24"/>
          <w:szCs w:val="24"/>
        </w:rPr>
      </w:pPr>
    </w:p>
    <w:p w14:paraId="0F14DC73" w14:textId="77777777" w:rsidR="007675EC" w:rsidRDefault="00356E30" w:rsidP="00142937">
      <w:pPr>
        <w:jc w:val="center"/>
        <w:rPr>
          <w:rFonts w:cstheme="minorHAnsi"/>
          <w:b/>
          <w:bCs/>
          <w:color w:val="4472C4" w:themeColor="accent1"/>
          <w:sz w:val="72"/>
          <w:szCs w:val="72"/>
        </w:rPr>
      </w:pPr>
      <w:r w:rsidRPr="00B10FCC">
        <w:rPr>
          <w:rFonts w:cstheme="minorHAnsi"/>
          <w:b/>
          <w:bCs/>
          <w:color w:val="4472C4" w:themeColor="accent1"/>
          <w:sz w:val="72"/>
          <w:szCs w:val="72"/>
        </w:rPr>
        <w:t xml:space="preserve">Freedom of Information Policy </w:t>
      </w:r>
    </w:p>
    <w:p w14:paraId="06A16CA8" w14:textId="79D22CFD" w:rsidR="007675EC" w:rsidRDefault="00356E30" w:rsidP="00142937">
      <w:pPr>
        <w:jc w:val="center"/>
        <w:rPr>
          <w:rFonts w:cstheme="minorHAnsi"/>
          <w:b/>
          <w:bCs/>
          <w:color w:val="4472C4" w:themeColor="accent1"/>
          <w:sz w:val="72"/>
          <w:szCs w:val="72"/>
        </w:rPr>
      </w:pPr>
      <w:r w:rsidRPr="00B10FCC">
        <w:rPr>
          <w:rFonts w:cstheme="minorHAnsi"/>
          <w:b/>
          <w:bCs/>
          <w:color w:val="4472C4" w:themeColor="accent1"/>
          <w:sz w:val="72"/>
          <w:szCs w:val="72"/>
        </w:rPr>
        <w:t xml:space="preserve">and </w:t>
      </w:r>
    </w:p>
    <w:p w14:paraId="3BF07DB5" w14:textId="5D93B55C" w:rsidR="00356E30" w:rsidRDefault="00356E30" w:rsidP="00142937">
      <w:pPr>
        <w:jc w:val="center"/>
        <w:rPr>
          <w:rFonts w:cstheme="minorHAnsi"/>
          <w:b/>
          <w:bCs/>
          <w:color w:val="4472C4" w:themeColor="accent1"/>
          <w:sz w:val="72"/>
          <w:szCs w:val="72"/>
        </w:rPr>
      </w:pPr>
      <w:r w:rsidRPr="00B10FCC">
        <w:rPr>
          <w:rFonts w:cstheme="minorHAnsi"/>
          <w:b/>
          <w:bCs/>
          <w:color w:val="4472C4" w:themeColor="accent1"/>
          <w:sz w:val="72"/>
          <w:szCs w:val="72"/>
        </w:rPr>
        <w:t>Procedur</w:t>
      </w:r>
      <w:r w:rsidR="00142937">
        <w:rPr>
          <w:rFonts w:cstheme="minorHAnsi"/>
          <w:b/>
          <w:bCs/>
          <w:color w:val="4472C4" w:themeColor="accent1"/>
          <w:sz w:val="72"/>
          <w:szCs w:val="72"/>
        </w:rPr>
        <w:t>al Guidance</w:t>
      </w:r>
    </w:p>
    <w:p w14:paraId="5C283560" w14:textId="2CC805C5" w:rsidR="00D1548E" w:rsidRPr="00B10FCC" w:rsidRDefault="00D1548E" w:rsidP="00142937">
      <w:pPr>
        <w:jc w:val="center"/>
        <w:rPr>
          <w:rFonts w:cstheme="minorHAnsi"/>
          <w:sz w:val="24"/>
          <w:szCs w:val="24"/>
        </w:rPr>
      </w:pPr>
      <w:r>
        <w:rPr>
          <w:rFonts w:cstheme="minorHAnsi"/>
          <w:b/>
          <w:bCs/>
          <w:color w:val="4472C4" w:themeColor="accent1"/>
          <w:sz w:val="72"/>
          <w:szCs w:val="72"/>
        </w:rPr>
        <w:t>For Walford Mill Medical Centre</w:t>
      </w:r>
    </w:p>
    <w:p w14:paraId="24EC20BB" w14:textId="6FC93E47" w:rsidR="00273668" w:rsidRDefault="00273668">
      <w:pPr>
        <w:rPr>
          <w:rFonts w:cstheme="minorHAnsi"/>
          <w:sz w:val="24"/>
          <w:szCs w:val="24"/>
        </w:rPr>
      </w:pPr>
      <w:r>
        <w:rPr>
          <w:rFonts w:cstheme="minorHAnsi"/>
          <w:sz w:val="24"/>
          <w:szCs w:val="24"/>
        </w:rPr>
        <w:br w:type="page"/>
      </w:r>
    </w:p>
    <w:p w14:paraId="16671252" w14:textId="77777777" w:rsidR="00356E30" w:rsidRPr="00B10FCC" w:rsidRDefault="00356E30" w:rsidP="00356E30">
      <w:pPr>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356E30" w:rsidRPr="00DB65FA" w14:paraId="37FAF4CB" w14:textId="77777777" w:rsidTr="00544339">
        <w:trPr>
          <w:trHeight w:val="537"/>
        </w:trPr>
        <w:tc>
          <w:tcPr>
            <w:tcW w:w="9016" w:type="dxa"/>
            <w:gridSpan w:val="2"/>
            <w:shd w:val="clear" w:color="auto" w:fill="D0CECE" w:themeFill="background2" w:themeFillShade="E6"/>
            <w:vAlign w:val="center"/>
          </w:tcPr>
          <w:p w14:paraId="31021561" w14:textId="77777777" w:rsidR="00356E30" w:rsidRPr="00DB65FA" w:rsidRDefault="00356E30" w:rsidP="00544339">
            <w:pPr>
              <w:rPr>
                <w:rFonts w:cstheme="minorHAnsi"/>
                <w:b/>
                <w:bCs/>
                <w:sz w:val="24"/>
                <w:szCs w:val="24"/>
              </w:rPr>
            </w:pPr>
            <w:r w:rsidRPr="00DB65FA">
              <w:rPr>
                <w:rFonts w:cstheme="minorHAnsi"/>
                <w:b/>
                <w:bCs/>
                <w:color w:val="4472C4" w:themeColor="accent1"/>
                <w:sz w:val="24"/>
                <w:szCs w:val="24"/>
              </w:rPr>
              <w:t>Document Details</w:t>
            </w:r>
          </w:p>
        </w:tc>
      </w:tr>
      <w:tr w:rsidR="00356E30" w:rsidRPr="00DB65FA" w14:paraId="34F006A1" w14:textId="77777777" w:rsidTr="00544339">
        <w:trPr>
          <w:trHeight w:val="537"/>
        </w:trPr>
        <w:tc>
          <w:tcPr>
            <w:tcW w:w="4508" w:type="dxa"/>
            <w:vAlign w:val="center"/>
          </w:tcPr>
          <w:p w14:paraId="318DDF52" w14:textId="77777777" w:rsidR="00356E30" w:rsidRPr="00DB65FA" w:rsidRDefault="00356E30" w:rsidP="00544339">
            <w:pPr>
              <w:rPr>
                <w:rFonts w:cstheme="minorHAnsi"/>
                <w:sz w:val="24"/>
                <w:szCs w:val="24"/>
              </w:rPr>
            </w:pPr>
            <w:r w:rsidRPr="00DB65FA">
              <w:rPr>
                <w:rFonts w:cstheme="minorHAnsi"/>
                <w:sz w:val="24"/>
                <w:szCs w:val="24"/>
              </w:rPr>
              <w:t>Applicable to</w:t>
            </w:r>
          </w:p>
        </w:tc>
        <w:tc>
          <w:tcPr>
            <w:tcW w:w="4508" w:type="dxa"/>
            <w:vAlign w:val="center"/>
          </w:tcPr>
          <w:p w14:paraId="2ABD22E2" w14:textId="77777777" w:rsidR="00356E30" w:rsidRPr="00DB65FA" w:rsidRDefault="00356E30" w:rsidP="00544339">
            <w:pPr>
              <w:rPr>
                <w:rFonts w:cstheme="minorHAnsi"/>
                <w:sz w:val="24"/>
                <w:szCs w:val="24"/>
              </w:rPr>
            </w:pPr>
            <w:r w:rsidRPr="00DB65FA">
              <w:rPr>
                <w:rFonts w:cstheme="minorHAnsi"/>
                <w:sz w:val="24"/>
                <w:szCs w:val="24"/>
              </w:rPr>
              <w:t>All employees, staff on honorary contracts, volunteers and third-party contractors</w:t>
            </w:r>
          </w:p>
        </w:tc>
      </w:tr>
      <w:tr w:rsidR="00356E30" w:rsidRPr="00DB65FA" w14:paraId="10818ED8" w14:textId="77777777" w:rsidTr="00544339">
        <w:trPr>
          <w:trHeight w:val="537"/>
        </w:trPr>
        <w:tc>
          <w:tcPr>
            <w:tcW w:w="4508" w:type="dxa"/>
            <w:vAlign w:val="center"/>
          </w:tcPr>
          <w:p w14:paraId="773B0FBF" w14:textId="77777777" w:rsidR="00356E30" w:rsidRPr="00DB65FA" w:rsidRDefault="00356E30" w:rsidP="00544339">
            <w:pPr>
              <w:rPr>
                <w:rFonts w:cstheme="minorHAnsi"/>
                <w:sz w:val="24"/>
                <w:szCs w:val="24"/>
              </w:rPr>
            </w:pPr>
            <w:r w:rsidRPr="00DB65FA">
              <w:rPr>
                <w:rFonts w:cstheme="minorHAnsi"/>
                <w:sz w:val="24"/>
                <w:szCs w:val="24"/>
              </w:rPr>
              <w:t>Author</w:t>
            </w:r>
          </w:p>
        </w:tc>
        <w:tc>
          <w:tcPr>
            <w:tcW w:w="4508" w:type="dxa"/>
            <w:vAlign w:val="center"/>
          </w:tcPr>
          <w:p w14:paraId="2FD81A9C" w14:textId="280F0E4A" w:rsidR="00356E30" w:rsidRPr="00DB65FA" w:rsidRDefault="00E61D52" w:rsidP="00544339">
            <w:pPr>
              <w:rPr>
                <w:rFonts w:cstheme="minorHAnsi"/>
                <w:sz w:val="24"/>
                <w:szCs w:val="24"/>
              </w:rPr>
            </w:pPr>
            <w:r>
              <w:rPr>
                <w:rFonts w:cstheme="minorHAnsi"/>
                <w:sz w:val="24"/>
                <w:szCs w:val="24"/>
              </w:rPr>
              <w:t>GP DPO service</w:t>
            </w:r>
          </w:p>
        </w:tc>
      </w:tr>
      <w:tr w:rsidR="00356E30" w:rsidRPr="00DB65FA" w14:paraId="3168E1DD" w14:textId="77777777" w:rsidTr="00544339">
        <w:trPr>
          <w:trHeight w:val="537"/>
        </w:trPr>
        <w:tc>
          <w:tcPr>
            <w:tcW w:w="4508" w:type="dxa"/>
            <w:vAlign w:val="center"/>
          </w:tcPr>
          <w:p w14:paraId="5551A279" w14:textId="77777777" w:rsidR="00356E30" w:rsidRPr="00DB65FA" w:rsidRDefault="00356E30" w:rsidP="00544339">
            <w:pPr>
              <w:rPr>
                <w:rFonts w:cstheme="minorHAnsi"/>
                <w:sz w:val="24"/>
                <w:szCs w:val="24"/>
              </w:rPr>
            </w:pPr>
            <w:r w:rsidRPr="00DB65FA">
              <w:rPr>
                <w:rFonts w:cstheme="minorHAnsi"/>
                <w:sz w:val="24"/>
                <w:szCs w:val="24"/>
              </w:rPr>
              <w:t>Job Title</w:t>
            </w:r>
          </w:p>
        </w:tc>
        <w:tc>
          <w:tcPr>
            <w:tcW w:w="4508" w:type="dxa"/>
            <w:vAlign w:val="center"/>
          </w:tcPr>
          <w:p w14:paraId="37D2EA07" w14:textId="77777777" w:rsidR="00356E30" w:rsidRPr="00DB65FA" w:rsidRDefault="00356E30" w:rsidP="00544339">
            <w:pPr>
              <w:rPr>
                <w:rFonts w:cstheme="minorHAnsi"/>
                <w:sz w:val="24"/>
                <w:szCs w:val="24"/>
              </w:rPr>
            </w:pPr>
            <w:r w:rsidRPr="00DB65FA">
              <w:rPr>
                <w:rFonts w:cstheme="minorHAnsi"/>
                <w:sz w:val="24"/>
                <w:szCs w:val="24"/>
              </w:rPr>
              <w:t>Data Protection Officers General Practice</w:t>
            </w:r>
          </w:p>
        </w:tc>
      </w:tr>
      <w:tr w:rsidR="00356E30" w:rsidRPr="00DB65FA" w14:paraId="449D13E0" w14:textId="77777777" w:rsidTr="00544339">
        <w:trPr>
          <w:trHeight w:val="537"/>
        </w:trPr>
        <w:tc>
          <w:tcPr>
            <w:tcW w:w="4508" w:type="dxa"/>
            <w:vAlign w:val="center"/>
          </w:tcPr>
          <w:p w14:paraId="1FADB487" w14:textId="77777777" w:rsidR="00356E30" w:rsidRPr="00DB65FA" w:rsidRDefault="00356E30" w:rsidP="00544339">
            <w:pPr>
              <w:rPr>
                <w:rFonts w:cstheme="minorHAnsi"/>
                <w:sz w:val="24"/>
                <w:szCs w:val="24"/>
              </w:rPr>
            </w:pPr>
            <w:r w:rsidRPr="00DB65FA">
              <w:rPr>
                <w:rFonts w:cstheme="minorHAnsi"/>
                <w:sz w:val="24"/>
                <w:szCs w:val="24"/>
              </w:rPr>
              <w:t>Date of issue</w:t>
            </w:r>
          </w:p>
        </w:tc>
        <w:tc>
          <w:tcPr>
            <w:tcW w:w="4508" w:type="dxa"/>
            <w:vAlign w:val="center"/>
          </w:tcPr>
          <w:p w14:paraId="65F35F54" w14:textId="77777777" w:rsidR="00356E30" w:rsidRPr="00DB65FA" w:rsidRDefault="00356E30" w:rsidP="00544339">
            <w:pPr>
              <w:rPr>
                <w:rFonts w:cstheme="minorHAnsi"/>
                <w:sz w:val="24"/>
                <w:szCs w:val="24"/>
              </w:rPr>
            </w:pPr>
            <w:r w:rsidRPr="00DB65FA">
              <w:rPr>
                <w:rFonts w:cstheme="minorHAnsi"/>
                <w:sz w:val="24"/>
                <w:szCs w:val="24"/>
              </w:rPr>
              <w:t>April 2021</w:t>
            </w:r>
          </w:p>
        </w:tc>
      </w:tr>
      <w:tr w:rsidR="00356E30" w:rsidRPr="00DB65FA" w14:paraId="3ABE0C61" w14:textId="77777777" w:rsidTr="00544339">
        <w:trPr>
          <w:trHeight w:val="537"/>
        </w:trPr>
        <w:tc>
          <w:tcPr>
            <w:tcW w:w="4508" w:type="dxa"/>
            <w:vAlign w:val="center"/>
          </w:tcPr>
          <w:p w14:paraId="5910439A" w14:textId="77777777" w:rsidR="00356E30" w:rsidRPr="00DB65FA" w:rsidRDefault="00356E30" w:rsidP="00544339">
            <w:pPr>
              <w:rPr>
                <w:rFonts w:cstheme="minorHAnsi"/>
                <w:sz w:val="24"/>
                <w:szCs w:val="24"/>
              </w:rPr>
            </w:pPr>
            <w:r w:rsidRPr="00DB65FA">
              <w:rPr>
                <w:rFonts w:cstheme="minorHAnsi"/>
                <w:sz w:val="24"/>
                <w:szCs w:val="24"/>
              </w:rPr>
              <w:t>Review date</w:t>
            </w:r>
          </w:p>
        </w:tc>
        <w:tc>
          <w:tcPr>
            <w:tcW w:w="4508" w:type="dxa"/>
            <w:vAlign w:val="center"/>
          </w:tcPr>
          <w:p w14:paraId="5FFE52DF" w14:textId="5C3AC076" w:rsidR="00356E30" w:rsidRPr="00DB65FA" w:rsidRDefault="00356E30" w:rsidP="00544339">
            <w:pPr>
              <w:rPr>
                <w:rFonts w:cstheme="minorHAnsi"/>
                <w:sz w:val="24"/>
                <w:szCs w:val="24"/>
              </w:rPr>
            </w:pPr>
            <w:r w:rsidRPr="00DB65FA">
              <w:rPr>
                <w:rFonts w:cstheme="minorHAnsi"/>
                <w:sz w:val="24"/>
                <w:szCs w:val="24"/>
              </w:rPr>
              <w:t>April 202</w:t>
            </w:r>
            <w:r w:rsidR="00E61D52">
              <w:rPr>
                <w:rFonts w:cstheme="minorHAnsi"/>
                <w:sz w:val="24"/>
                <w:szCs w:val="24"/>
              </w:rPr>
              <w:t>7</w:t>
            </w:r>
          </w:p>
        </w:tc>
      </w:tr>
    </w:tbl>
    <w:p w14:paraId="27EDB723" w14:textId="77777777" w:rsidR="00356E30" w:rsidRPr="00DB65FA" w:rsidRDefault="00356E30" w:rsidP="00356E30">
      <w:pPr>
        <w:rPr>
          <w:rFonts w:cstheme="minorHAnsi"/>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356E30" w:rsidRPr="00DB65FA" w14:paraId="6608E4E6" w14:textId="77777777" w:rsidTr="00356E30">
        <w:trPr>
          <w:trHeight w:val="586"/>
        </w:trPr>
        <w:tc>
          <w:tcPr>
            <w:tcW w:w="2254" w:type="dxa"/>
            <w:shd w:val="clear" w:color="auto" w:fill="D0CECE" w:themeFill="background2" w:themeFillShade="E6"/>
            <w:vAlign w:val="center"/>
          </w:tcPr>
          <w:p w14:paraId="659781A5" w14:textId="77777777" w:rsidR="00356E30" w:rsidRPr="00DB65FA" w:rsidRDefault="00356E30" w:rsidP="00544339">
            <w:pPr>
              <w:rPr>
                <w:rFonts w:cstheme="minorHAnsi"/>
                <w:b/>
                <w:bCs/>
                <w:color w:val="4472C4" w:themeColor="accent1"/>
                <w:sz w:val="24"/>
                <w:szCs w:val="24"/>
              </w:rPr>
            </w:pPr>
            <w:r w:rsidRPr="00DB65FA">
              <w:rPr>
                <w:rFonts w:cstheme="minorHAnsi"/>
                <w:b/>
                <w:bCs/>
                <w:color w:val="4472C4" w:themeColor="accent1"/>
                <w:sz w:val="24"/>
                <w:szCs w:val="24"/>
              </w:rPr>
              <w:t>Date of Issue</w:t>
            </w:r>
          </w:p>
        </w:tc>
        <w:tc>
          <w:tcPr>
            <w:tcW w:w="2254" w:type="dxa"/>
            <w:shd w:val="clear" w:color="auto" w:fill="D0CECE" w:themeFill="background2" w:themeFillShade="E6"/>
            <w:vAlign w:val="center"/>
          </w:tcPr>
          <w:p w14:paraId="00557F2C" w14:textId="77777777" w:rsidR="00356E30" w:rsidRPr="00DB65FA" w:rsidRDefault="00356E30" w:rsidP="00544339">
            <w:pPr>
              <w:rPr>
                <w:rFonts w:cstheme="minorHAnsi"/>
                <w:b/>
                <w:bCs/>
                <w:color w:val="4472C4" w:themeColor="accent1"/>
                <w:sz w:val="24"/>
                <w:szCs w:val="24"/>
              </w:rPr>
            </w:pPr>
            <w:r w:rsidRPr="00DB65FA">
              <w:rPr>
                <w:rFonts w:cstheme="minorHAnsi"/>
                <w:b/>
                <w:bCs/>
                <w:color w:val="4472C4" w:themeColor="accent1"/>
                <w:sz w:val="24"/>
                <w:szCs w:val="24"/>
              </w:rPr>
              <w:t>Version number</w:t>
            </w:r>
          </w:p>
        </w:tc>
        <w:tc>
          <w:tcPr>
            <w:tcW w:w="2254" w:type="dxa"/>
            <w:shd w:val="clear" w:color="auto" w:fill="D0CECE" w:themeFill="background2" w:themeFillShade="E6"/>
            <w:vAlign w:val="center"/>
          </w:tcPr>
          <w:p w14:paraId="6AFC617F" w14:textId="77777777" w:rsidR="00356E30" w:rsidRPr="00DB65FA" w:rsidRDefault="00356E30" w:rsidP="00544339">
            <w:pPr>
              <w:rPr>
                <w:rFonts w:cstheme="minorHAnsi"/>
                <w:b/>
                <w:bCs/>
                <w:color w:val="4472C4" w:themeColor="accent1"/>
                <w:sz w:val="24"/>
                <w:szCs w:val="24"/>
              </w:rPr>
            </w:pPr>
            <w:r w:rsidRPr="00DB65FA">
              <w:rPr>
                <w:rFonts w:cstheme="minorHAnsi"/>
                <w:b/>
                <w:bCs/>
                <w:color w:val="4472C4" w:themeColor="accent1"/>
                <w:sz w:val="24"/>
                <w:szCs w:val="24"/>
              </w:rPr>
              <w:t>Date of next review</w:t>
            </w:r>
          </w:p>
        </w:tc>
        <w:tc>
          <w:tcPr>
            <w:tcW w:w="2254" w:type="dxa"/>
            <w:shd w:val="clear" w:color="auto" w:fill="D0CECE" w:themeFill="background2" w:themeFillShade="E6"/>
            <w:vAlign w:val="center"/>
          </w:tcPr>
          <w:p w14:paraId="6F352CE9" w14:textId="77777777" w:rsidR="00356E30" w:rsidRPr="00DB65FA" w:rsidRDefault="00356E30" w:rsidP="00544339">
            <w:pPr>
              <w:rPr>
                <w:rFonts w:cstheme="minorHAnsi"/>
                <w:b/>
                <w:bCs/>
                <w:color w:val="4472C4" w:themeColor="accent1"/>
                <w:sz w:val="24"/>
                <w:szCs w:val="24"/>
              </w:rPr>
            </w:pPr>
            <w:r w:rsidRPr="00DB65FA">
              <w:rPr>
                <w:rFonts w:cstheme="minorHAnsi"/>
                <w:b/>
                <w:bCs/>
                <w:color w:val="4472C4" w:themeColor="accent1"/>
                <w:sz w:val="24"/>
                <w:szCs w:val="24"/>
              </w:rPr>
              <w:t>Nature of changes</w:t>
            </w:r>
          </w:p>
        </w:tc>
      </w:tr>
      <w:tr w:rsidR="00356E30" w:rsidRPr="00DB65FA" w14:paraId="0149A268" w14:textId="77777777" w:rsidTr="00356E30">
        <w:trPr>
          <w:trHeight w:val="586"/>
        </w:trPr>
        <w:tc>
          <w:tcPr>
            <w:tcW w:w="2254" w:type="dxa"/>
            <w:vAlign w:val="center"/>
          </w:tcPr>
          <w:p w14:paraId="4B0320F7" w14:textId="7E4DC78E" w:rsidR="00356E30" w:rsidRPr="00DB65FA" w:rsidRDefault="00356E30" w:rsidP="00544339">
            <w:pPr>
              <w:rPr>
                <w:rFonts w:cstheme="minorHAnsi"/>
                <w:sz w:val="24"/>
                <w:szCs w:val="24"/>
              </w:rPr>
            </w:pPr>
            <w:r w:rsidRPr="00DB65FA">
              <w:rPr>
                <w:rFonts w:cstheme="minorHAnsi"/>
                <w:sz w:val="24"/>
                <w:szCs w:val="24"/>
              </w:rPr>
              <w:t>April 2021</w:t>
            </w:r>
          </w:p>
        </w:tc>
        <w:tc>
          <w:tcPr>
            <w:tcW w:w="2254" w:type="dxa"/>
            <w:vAlign w:val="center"/>
          </w:tcPr>
          <w:p w14:paraId="52148A75" w14:textId="1AE91ACB" w:rsidR="00356E30" w:rsidRPr="00DB65FA" w:rsidRDefault="00356E30" w:rsidP="00544339">
            <w:pPr>
              <w:rPr>
                <w:rFonts w:cstheme="minorHAnsi"/>
                <w:sz w:val="24"/>
                <w:szCs w:val="24"/>
              </w:rPr>
            </w:pPr>
            <w:r w:rsidRPr="00DB65FA">
              <w:rPr>
                <w:rFonts w:cstheme="minorHAnsi"/>
                <w:sz w:val="24"/>
                <w:szCs w:val="24"/>
              </w:rPr>
              <w:t>V1.</w:t>
            </w:r>
            <w:r>
              <w:rPr>
                <w:rFonts w:cstheme="minorHAnsi"/>
                <w:sz w:val="24"/>
                <w:szCs w:val="24"/>
              </w:rPr>
              <w:t>2</w:t>
            </w:r>
          </w:p>
        </w:tc>
        <w:tc>
          <w:tcPr>
            <w:tcW w:w="2254" w:type="dxa"/>
            <w:vAlign w:val="center"/>
          </w:tcPr>
          <w:p w14:paraId="79108577" w14:textId="77777777" w:rsidR="00356E30" w:rsidRPr="00DB65FA" w:rsidRDefault="00356E30" w:rsidP="00544339">
            <w:pPr>
              <w:rPr>
                <w:rFonts w:cstheme="minorHAnsi"/>
                <w:sz w:val="24"/>
                <w:szCs w:val="24"/>
              </w:rPr>
            </w:pPr>
            <w:r w:rsidRPr="00DB65FA">
              <w:rPr>
                <w:rFonts w:cstheme="minorHAnsi"/>
                <w:sz w:val="24"/>
                <w:szCs w:val="24"/>
              </w:rPr>
              <w:t>April 2024</w:t>
            </w:r>
          </w:p>
        </w:tc>
        <w:tc>
          <w:tcPr>
            <w:tcW w:w="2254" w:type="dxa"/>
            <w:vAlign w:val="center"/>
          </w:tcPr>
          <w:p w14:paraId="09DD13B4" w14:textId="77777777" w:rsidR="00356E30" w:rsidRPr="00DB65FA" w:rsidRDefault="00356E30" w:rsidP="00544339">
            <w:pPr>
              <w:rPr>
                <w:rFonts w:cstheme="minorHAnsi"/>
                <w:sz w:val="24"/>
                <w:szCs w:val="24"/>
              </w:rPr>
            </w:pPr>
            <w:r w:rsidRPr="00DB65FA">
              <w:rPr>
                <w:rFonts w:cstheme="minorHAnsi"/>
                <w:sz w:val="24"/>
                <w:szCs w:val="24"/>
              </w:rPr>
              <w:t>New Policy</w:t>
            </w:r>
          </w:p>
        </w:tc>
      </w:tr>
      <w:tr w:rsidR="007F20CC" w:rsidRPr="00DB65FA" w14:paraId="20B62F9E" w14:textId="77777777" w:rsidTr="00356E30">
        <w:trPr>
          <w:trHeight w:val="586"/>
        </w:trPr>
        <w:tc>
          <w:tcPr>
            <w:tcW w:w="2254" w:type="dxa"/>
            <w:vAlign w:val="center"/>
          </w:tcPr>
          <w:p w14:paraId="55DFFE1F" w14:textId="538C3C5A" w:rsidR="007F20CC" w:rsidRPr="00DB65FA" w:rsidRDefault="007F20CC" w:rsidP="00544339">
            <w:pPr>
              <w:rPr>
                <w:rFonts w:cstheme="minorHAnsi"/>
                <w:sz w:val="24"/>
                <w:szCs w:val="24"/>
              </w:rPr>
            </w:pPr>
            <w:r>
              <w:rPr>
                <w:rFonts w:cstheme="minorHAnsi"/>
                <w:sz w:val="24"/>
                <w:szCs w:val="24"/>
              </w:rPr>
              <w:t>December 2022</w:t>
            </w:r>
          </w:p>
        </w:tc>
        <w:tc>
          <w:tcPr>
            <w:tcW w:w="2254" w:type="dxa"/>
            <w:vAlign w:val="center"/>
          </w:tcPr>
          <w:p w14:paraId="0D24BD29" w14:textId="5B1CA8FA" w:rsidR="007F20CC" w:rsidRPr="00DB65FA" w:rsidRDefault="007F20CC" w:rsidP="00544339">
            <w:pPr>
              <w:rPr>
                <w:rFonts w:cstheme="minorHAnsi"/>
                <w:sz w:val="24"/>
                <w:szCs w:val="24"/>
              </w:rPr>
            </w:pPr>
            <w:r>
              <w:rPr>
                <w:rFonts w:cstheme="minorHAnsi"/>
                <w:sz w:val="24"/>
                <w:szCs w:val="24"/>
              </w:rPr>
              <w:t>V1.3</w:t>
            </w:r>
          </w:p>
        </w:tc>
        <w:tc>
          <w:tcPr>
            <w:tcW w:w="2254" w:type="dxa"/>
            <w:vAlign w:val="center"/>
          </w:tcPr>
          <w:p w14:paraId="557995D3" w14:textId="57D6D22F" w:rsidR="007F20CC" w:rsidRPr="00DB65FA" w:rsidRDefault="007F20CC" w:rsidP="00544339">
            <w:pPr>
              <w:rPr>
                <w:rFonts w:cstheme="minorHAnsi"/>
                <w:sz w:val="24"/>
                <w:szCs w:val="24"/>
              </w:rPr>
            </w:pPr>
            <w:r>
              <w:rPr>
                <w:rFonts w:cstheme="minorHAnsi"/>
                <w:sz w:val="24"/>
                <w:szCs w:val="24"/>
              </w:rPr>
              <w:t>April 2024</w:t>
            </w:r>
          </w:p>
        </w:tc>
        <w:tc>
          <w:tcPr>
            <w:tcW w:w="2254" w:type="dxa"/>
            <w:vAlign w:val="center"/>
          </w:tcPr>
          <w:p w14:paraId="3475A7E1" w14:textId="49F7421C" w:rsidR="007F20CC" w:rsidRPr="00DB65FA" w:rsidRDefault="007F20CC" w:rsidP="00544339">
            <w:pPr>
              <w:rPr>
                <w:rFonts w:cstheme="minorHAnsi"/>
                <w:sz w:val="24"/>
                <w:szCs w:val="24"/>
              </w:rPr>
            </w:pPr>
            <w:r>
              <w:rPr>
                <w:rFonts w:cstheme="minorHAnsi"/>
                <w:sz w:val="24"/>
                <w:szCs w:val="24"/>
              </w:rPr>
              <w:t>Changed from CCG to ICB logo</w:t>
            </w:r>
          </w:p>
        </w:tc>
      </w:tr>
      <w:tr w:rsidR="003A2824" w:rsidRPr="00DB65FA" w14:paraId="0B523D27" w14:textId="77777777" w:rsidTr="00356E30">
        <w:trPr>
          <w:trHeight w:val="586"/>
        </w:trPr>
        <w:tc>
          <w:tcPr>
            <w:tcW w:w="2254" w:type="dxa"/>
            <w:vAlign w:val="center"/>
          </w:tcPr>
          <w:p w14:paraId="0F949F9A" w14:textId="4E59887C" w:rsidR="003A2824" w:rsidRDefault="003A2824" w:rsidP="00544339">
            <w:pPr>
              <w:rPr>
                <w:rFonts w:cstheme="minorHAnsi"/>
                <w:sz w:val="24"/>
                <w:szCs w:val="24"/>
              </w:rPr>
            </w:pPr>
            <w:r>
              <w:rPr>
                <w:rFonts w:cstheme="minorHAnsi"/>
                <w:sz w:val="24"/>
                <w:szCs w:val="24"/>
              </w:rPr>
              <w:t>February 2024</w:t>
            </w:r>
          </w:p>
        </w:tc>
        <w:tc>
          <w:tcPr>
            <w:tcW w:w="2254" w:type="dxa"/>
            <w:vAlign w:val="center"/>
          </w:tcPr>
          <w:p w14:paraId="53BBA120" w14:textId="7882D126" w:rsidR="003A2824" w:rsidRDefault="003A2824" w:rsidP="00544339">
            <w:pPr>
              <w:rPr>
                <w:rFonts w:cstheme="minorHAnsi"/>
                <w:sz w:val="24"/>
                <w:szCs w:val="24"/>
              </w:rPr>
            </w:pPr>
            <w:r>
              <w:rPr>
                <w:rFonts w:cstheme="minorHAnsi"/>
                <w:sz w:val="24"/>
                <w:szCs w:val="24"/>
              </w:rPr>
              <w:t>V1.</w:t>
            </w:r>
            <w:r w:rsidR="00F0754D">
              <w:rPr>
                <w:rFonts w:cstheme="minorHAnsi"/>
                <w:sz w:val="24"/>
                <w:szCs w:val="24"/>
              </w:rPr>
              <w:t>4</w:t>
            </w:r>
          </w:p>
        </w:tc>
        <w:tc>
          <w:tcPr>
            <w:tcW w:w="2254" w:type="dxa"/>
            <w:vAlign w:val="center"/>
          </w:tcPr>
          <w:p w14:paraId="60211BB8" w14:textId="74432EC0" w:rsidR="003A2824" w:rsidRDefault="003A2824" w:rsidP="00544339">
            <w:pPr>
              <w:rPr>
                <w:rFonts w:cstheme="minorHAnsi"/>
                <w:sz w:val="24"/>
                <w:szCs w:val="24"/>
              </w:rPr>
            </w:pPr>
            <w:r>
              <w:rPr>
                <w:rFonts w:cstheme="minorHAnsi"/>
                <w:sz w:val="24"/>
                <w:szCs w:val="24"/>
              </w:rPr>
              <w:t>April 202</w:t>
            </w:r>
            <w:r w:rsidR="00E61D52">
              <w:rPr>
                <w:rFonts w:cstheme="minorHAnsi"/>
                <w:sz w:val="24"/>
                <w:szCs w:val="24"/>
              </w:rPr>
              <w:t>7</w:t>
            </w:r>
          </w:p>
        </w:tc>
        <w:tc>
          <w:tcPr>
            <w:tcW w:w="2254" w:type="dxa"/>
            <w:vAlign w:val="center"/>
          </w:tcPr>
          <w:p w14:paraId="71314C8A" w14:textId="2C8559C1" w:rsidR="003A2824" w:rsidRDefault="00F0754D" w:rsidP="00544339">
            <w:pPr>
              <w:rPr>
                <w:rFonts w:cstheme="minorHAnsi"/>
                <w:sz w:val="24"/>
                <w:szCs w:val="24"/>
              </w:rPr>
            </w:pPr>
            <w:r>
              <w:rPr>
                <w:rFonts w:cstheme="minorHAnsi"/>
                <w:sz w:val="24"/>
                <w:szCs w:val="24"/>
              </w:rPr>
              <w:t>Minor change to font size</w:t>
            </w:r>
          </w:p>
        </w:tc>
      </w:tr>
      <w:tr w:rsidR="00C741B1" w:rsidRPr="00DB65FA" w14:paraId="32CF4589" w14:textId="77777777" w:rsidTr="00356E30">
        <w:trPr>
          <w:trHeight w:val="586"/>
        </w:trPr>
        <w:tc>
          <w:tcPr>
            <w:tcW w:w="2254" w:type="dxa"/>
            <w:vAlign w:val="center"/>
          </w:tcPr>
          <w:p w14:paraId="59CEFE9F" w14:textId="4C1B3953" w:rsidR="00C741B1" w:rsidRDefault="00C741B1" w:rsidP="00544339">
            <w:pPr>
              <w:rPr>
                <w:rFonts w:cstheme="minorHAnsi"/>
                <w:sz w:val="24"/>
                <w:szCs w:val="24"/>
              </w:rPr>
            </w:pPr>
            <w:r>
              <w:rPr>
                <w:rFonts w:cstheme="minorHAnsi"/>
                <w:sz w:val="24"/>
                <w:szCs w:val="24"/>
              </w:rPr>
              <w:t>09.06.2</w:t>
            </w:r>
            <w:r w:rsidR="00D55716">
              <w:rPr>
                <w:rFonts w:cstheme="minorHAnsi"/>
                <w:sz w:val="24"/>
                <w:szCs w:val="24"/>
              </w:rPr>
              <w:t>5</w:t>
            </w:r>
          </w:p>
        </w:tc>
        <w:tc>
          <w:tcPr>
            <w:tcW w:w="2254" w:type="dxa"/>
            <w:vAlign w:val="center"/>
          </w:tcPr>
          <w:p w14:paraId="750AFC70" w14:textId="5539CAF2" w:rsidR="00C741B1" w:rsidRDefault="00C741B1" w:rsidP="00544339">
            <w:pPr>
              <w:rPr>
                <w:rFonts w:cstheme="minorHAnsi"/>
                <w:sz w:val="24"/>
                <w:szCs w:val="24"/>
              </w:rPr>
            </w:pPr>
            <w:r>
              <w:rPr>
                <w:rFonts w:cstheme="minorHAnsi"/>
                <w:sz w:val="24"/>
                <w:szCs w:val="24"/>
              </w:rPr>
              <w:t>V1.4</w:t>
            </w:r>
          </w:p>
        </w:tc>
        <w:tc>
          <w:tcPr>
            <w:tcW w:w="2254" w:type="dxa"/>
            <w:vAlign w:val="center"/>
          </w:tcPr>
          <w:p w14:paraId="41835D5B" w14:textId="4E2CEA83" w:rsidR="00C741B1" w:rsidRDefault="00C741B1" w:rsidP="00544339">
            <w:pPr>
              <w:rPr>
                <w:rFonts w:cstheme="minorHAnsi"/>
                <w:sz w:val="24"/>
                <w:szCs w:val="24"/>
              </w:rPr>
            </w:pPr>
            <w:r>
              <w:rPr>
                <w:rFonts w:cstheme="minorHAnsi"/>
                <w:sz w:val="24"/>
                <w:szCs w:val="24"/>
              </w:rPr>
              <w:t xml:space="preserve">April 2027 </w:t>
            </w:r>
          </w:p>
        </w:tc>
        <w:tc>
          <w:tcPr>
            <w:tcW w:w="2254" w:type="dxa"/>
            <w:vAlign w:val="center"/>
          </w:tcPr>
          <w:p w14:paraId="67A151E2" w14:textId="36FC7A23" w:rsidR="00C741B1" w:rsidRDefault="00C741B1" w:rsidP="00544339">
            <w:pPr>
              <w:rPr>
                <w:rFonts w:cstheme="minorHAnsi"/>
                <w:sz w:val="24"/>
                <w:szCs w:val="24"/>
              </w:rPr>
            </w:pPr>
            <w:r>
              <w:rPr>
                <w:rFonts w:cstheme="minorHAnsi"/>
                <w:sz w:val="24"/>
                <w:szCs w:val="24"/>
              </w:rPr>
              <w:t xml:space="preserve">Reviewed by SF for Walford Mill Medical Centre DSPT </w:t>
            </w:r>
          </w:p>
        </w:tc>
      </w:tr>
    </w:tbl>
    <w:p w14:paraId="00E8243C" w14:textId="77777777" w:rsidR="00356E30" w:rsidRPr="00DB65FA" w:rsidRDefault="00356E30" w:rsidP="00356E30">
      <w:pPr>
        <w:rPr>
          <w:rFonts w:cstheme="minorHAnsi"/>
          <w:sz w:val="24"/>
          <w:szCs w:val="24"/>
        </w:rPr>
      </w:pPr>
    </w:p>
    <w:p w14:paraId="2017E893" w14:textId="0B369641" w:rsidR="00273668" w:rsidRDefault="00273668">
      <w:r>
        <w:br w:type="page"/>
      </w:r>
    </w:p>
    <w:p w14:paraId="482EF382" w14:textId="77777777" w:rsidR="00356E30" w:rsidRDefault="00356E30"/>
    <w:tbl>
      <w:tblPr>
        <w:tblStyle w:val="TableGrid"/>
        <w:tblW w:w="0" w:type="auto"/>
        <w:tblLook w:val="04A0" w:firstRow="1" w:lastRow="0" w:firstColumn="1" w:lastColumn="0" w:noHBand="0" w:noVBand="1"/>
      </w:tblPr>
      <w:tblGrid>
        <w:gridCol w:w="704"/>
        <w:gridCol w:w="7088"/>
        <w:gridCol w:w="1224"/>
      </w:tblGrid>
      <w:tr w:rsidR="00356E30" w:rsidRPr="00DB65FA" w14:paraId="098F006B" w14:textId="77777777" w:rsidTr="00544339">
        <w:trPr>
          <w:trHeight w:val="562"/>
        </w:trPr>
        <w:tc>
          <w:tcPr>
            <w:tcW w:w="7792" w:type="dxa"/>
            <w:gridSpan w:val="2"/>
            <w:shd w:val="clear" w:color="auto" w:fill="D0CECE" w:themeFill="background2" w:themeFillShade="E6"/>
          </w:tcPr>
          <w:p w14:paraId="79EEC4C5" w14:textId="174A2804" w:rsidR="00356E30" w:rsidRPr="00DB65FA" w:rsidRDefault="00356E30" w:rsidP="00544339">
            <w:pPr>
              <w:rPr>
                <w:rFonts w:cstheme="minorHAnsi"/>
                <w:b/>
                <w:bCs/>
                <w:color w:val="4472C4" w:themeColor="accent1"/>
                <w:sz w:val="24"/>
                <w:szCs w:val="24"/>
              </w:rPr>
            </w:pPr>
            <w:r w:rsidRPr="00DB65FA">
              <w:rPr>
                <w:rFonts w:cstheme="minorHAnsi"/>
                <w:b/>
                <w:bCs/>
                <w:color w:val="4472C4" w:themeColor="accent1"/>
                <w:sz w:val="24"/>
                <w:szCs w:val="24"/>
              </w:rPr>
              <w:t>Contents</w:t>
            </w:r>
          </w:p>
        </w:tc>
        <w:tc>
          <w:tcPr>
            <w:tcW w:w="1224" w:type="dxa"/>
            <w:shd w:val="clear" w:color="auto" w:fill="D0CECE" w:themeFill="background2" w:themeFillShade="E6"/>
          </w:tcPr>
          <w:p w14:paraId="57FFC0A9" w14:textId="77777777" w:rsidR="00356E30" w:rsidRPr="00DB65FA" w:rsidRDefault="00356E30" w:rsidP="00544339">
            <w:pPr>
              <w:rPr>
                <w:rFonts w:cstheme="minorHAnsi"/>
                <w:b/>
                <w:bCs/>
                <w:color w:val="4472C4" w:themeColor="accent1"/>
                <w:sz w:val="24"/>
                <w:szCs w:val="24"/>
              </w:rPr>
            </w:pPr>
            <w:r w:rsidRPr="00DB65FA">
              <w:rPr>
                <w:rFonts w:cstheme="minorHAnsi"/>
                <w:b/>
                <w:bCs/>
                <w:color w:val="4472C4" w:themeColor="accent1"/>
                <w:sz w:val="24"/>
                <w:szCs w:val="24"/>
              </w:rPr>
              <w:t>Page</w:t>
            </w:r>
          </w:p>
        </w:tc>
      </w:tr>
      <w:tr w:rsidR="00356E30" w:rsidRPr="00DB65FA" w14:paraId="3698AFE1" w14:textId="77777777" w:rsidTr="00544339">
        <w:trPr>
          <w:trHeight w:val="562"/>
        </w:trPr>
        <w:tc>
          <w:tcPr>
            <w:tcW w:w="9016" w:type="dxa"/>
            <w:gridSpan w:val="3"/>
            <w:shd w:val="clear" w:color="auto" w:fill="D0CECE" w:themeFill="background2" w:themeFillShade="E6"/>
          </w:tcPr>
          <w:p w14:paraId="6BC9C508" w14:textId="082DC398" w:rsidR="00356E30" w:rsidRPr="00DB65FA" w:rsidRDefault="00356E30" w:rsidP="00544339">
            <w:pPr>
              <w:rPr>
                <w:rFonts w:cstheme="minorHAnsi"/>
                <w:b/>
                <w:bCs/>
                <w:color w:val="4472C4" w:themeColor="accent1"/>
                <w:sz w:val="24"/>
                <w:szCs w:val="24"/>
              </w:rPr>
            </w:pPr>
            <w:r>
              <w:rPr>
                <w:rFonts w:cstheme="minorHAnsi"/>
                <w:b/>
                <w:bCs/>
                <w:color w:val="4472C4" w:themeColor="accent1"/>
                <w:sz w:val="24"/>
                <w:szCs w:val="24"/>
              </w:rPr>
              <w:t xml:space="preserve">Part </w:t>
            </w:r>
            <w:r w:rsidR="00142937">
              <w:rPr>
                <w:rFonts w:cstheme="minorHAnsi"/>
                <w:b/>
                <w:bCs/>
                <w:color w:val="4472C4" w:themeColor="accent1"/>
                <w:sz w:val="24"/>
                <w:szCs w:val="24"/>
              </w:rPr>
              <w:t>One</w:t>
            </w:r>
            <w:r>
              <w:rPr>
                <w:rFonts w:cstheme="minorHAnsi"/>
                <w:b/>
                <w:bCs/>
                <w:color w:val="4472C4" w:themeColor="accent1"/>
                <w:sz w:val="24"/>
                <w:szCs w:val="24"/>
              </w:rPr>
              <w:t xml:space="preserve"> - Policy</w:t>
            </w:r>
          </w:p>
        </w:tc>
      </w:tr>
      <w:tr w:rsidR="00356E30" w:rsidRPr="00DB65FA" w14:paraId="75CE7F24" w14:textId="77777777" w:rsidTr="002E328D">
        <w:trPr>
          <w:trHeight w:val="395"/>
        </w:trPr>
        <w:tc>
          <w:tcPr>
            <w:tcW w:w="704" w:type="dxa"/>
            <w:vAlign w:val="center"/>
          </w:tcPr>
          <w:p w14:paraId="4E0FC75C" w14:textId="77777777" w:rsidR="00356E30" w:rsidRPr="00DB65FA" w:rsidRDefault="00356E30" w:rsidP="00544339">
            <w:pPr>
              <w:rPr>
                <w:rFonts w:cstheme="minorHAnsi"/>
                <w:b/>
                <w:bCs/>
                <w:color w:val="4472C4" w:themeColor="accent1"/>
                <w:sz w:val="24"/>
                <w:szCs w:val="24"/>
              </w:rPr>
            </w:pPr>
            <w:r w:rsidRPr="00DB65FA">
              <w:rPr>
                <w:rFonts w:cstheme="minorHAnsi"/>
                <w:b/>
                <w:bCs/>
                <w:color w:val="4472C4" w:themeColor="accent1"/>
                <w:sz w:val="24"/>
                <w:szCs w:val="24"/>
              </w:rPr>
              <w:t>1</w:t>
            </w:r>
          </w:p>
        </w:tc>
        <w:tc>
          <w:tcPr>
            <w:tcW w:w="7088" w:type="dxa"/>
            <w:vAlign w:val="center"/>
          </w:tcPr>
          <w:p w14:paraId="4E6000FE" w14:textId="77777777" w:rsidR="00356E30" w:rsidRPr="00DB65FA" w:rsidRDefault="00356E30" w:rsidP="00544339">
            <w:pPr>
              <w:rPr>
                <w:rFonts w:cstheme="minorHAnsi"/>
                <w:sz w:val="24"/>
                <w:szCs w:val="24"/>
              </w:rPr>
            </w:pPr>
            <w:r w:rsidRPr="00DB65FA">
              <w:rPr>
                <w:rFonts w:cstheme="minorHAnsi"/>
                <w:sz w:val="24"/>
                <w:szCs w:val="24"/>
              </w:rPr>
              <w:t>Relevant to</w:t>
            </w:r>
          </w:p>
        </w:tc>
        <w:tc>
          <w:tcPr>
            <w:tcW w:w="1224" w:type="dxa"/>
            <w:vAlign w:val="center"/>
          </w:tcPr>
          <w:p w14:paraId="5412F1AE" w14:textId="545DC212" w:rsidR="00356E30" w:rsidRPr="00DB65FA" w:rsidRDefault="00712CEC" w:rsidP="00544339">
            <w:pPr>
              <w:rPr>
                <w:rFonts w:cstheme="minorHAnsi"/>
                <w:b/>
                <w:bCs/>
                <w:color w:val="4472C4" w:themeColor="accent1"/>
                <w:sz w:val="24"/>
                <w:szCs w:val="24"/>
              </w:rPr>
            </w:pPr>
            <w:r>
              <w:rPr>
                <w:rFonts w:cstheme="minorHAnsi"/>
                <w:b/>
                <w:bCs/>
                <w:color w:val="4472C4" w:themeColor="accent1"/>
                <w:sz w:val="24"/>
                <w:szCs w:val="24"/>
              </w:rPr>
              <w:t>4</w:t>
            </w:r>
          </w:p>
        </w:tc>
      </w:tr>
      <w:tr w:rsidR="00356E30" w:rsidRPr="00DB65FA" w14:paraId="00673730" w14:textId="77777777" w:rsidTr="002E328D">
        <w:trPr>
          <w:trHeight w:val="414"/>
        </w:trPr>
        <w:tc>
          <w:tcPr>
            <w:tcW w:w="704" w:type="dxa"/>
            <w:vAlign w:val="center"/>
          </w:tcPr>
          <w:p w14:paraId="0DF08D9B" w14:textId="77777777" w:rsidR="00356E30" w:rsidRPr="00DB65FA" w:rsidRDefault="00356E30" w:rsidP="00544339">
            <w:pPr>
              <w:rPr>
                <w:rFonts w:cstheme="minorHAnsi"/>
                <w:b/>
                <w:bCs/>
                <w:color w:val="4472C4" w:themeColor="accent1"/>
                <w:sz w:val="24"/>
                <w:szCs w:val="24"/>
              </w:rPr>
            </w:pPr>
            <w:r w:rsidRPr="00DB65FA">
              <w:rPr>
                <w:rFonts w:cstheme="minorHAnsi"/>
                <w:b/>
                <w:bCs/>
                <w:color w:val="4472C4" w:themeColor="accent1"/>
                <w:sz w:val="24"/>
                <w:szCs w:val="24"/>
              </w:rPr>
              <w:t>2</w:t>
            </w:r>
          </w:p>
        </w:tc>
        <w:tc>
          <w:tcPr>
            <w:tcW w:w="7088" w:type="dxa"/>
            <w:vAlign w:val="center"/>
          </w:tcPr>
          <w:p w14:paraId="60751ACB" w14:textId="77777777" w:rsidR="00356E30" w:rsidRPr="00DB65FA" w:rsidRDefault="00356E30" w:rsidP="00544339">
            <w:pPr>
              <w:rPr>
                <w:rFonts w:cstheme="minorHAnsi"/>
                <w:sz w:val="24"/>
                <w:szCs w:val="24"/>
              </w:rPr>
            </w:pPr>
            <w:r w:rsidRPr="00DB65FA">
              <w:rPr>
                <w:rFonts w:cstheme="minorHAnsi"/>
                <w:sz w:val="24"/>
                <w:szCs w:val="24"/>
              </w:rPr>
              <w:t>Introduction</w:t>
            </w:r>
          </w:p>
        </w:tc>
        <w:tc>
          <w:tcPr>
            <w:tcW w:w="1224" w:type="dxa"/>
            <w:vAlign w:val="center"/>
          </w:tcPr>
          <w:p w14:paraId="0791D363" w14:textId="71E4F9EF" w:rsidR="00356E30" w:rsidRPr="00DB65FA" w:rsidRDefault="00712CEC" w:rsidP="00544339">
            <w:pPr>
              <w:rPr>
                <w:rFonts w:cstheme="minorHAnsi"/>
                <w:b/>
                <w:bCs/>
                <w:color w:val="4472C4" w:themeColor="accent1"/>
                <w:sz w:val="24"/>
                <w:szCs w:val="24"/>
              </w:rPr>
            </w:pPr>
            <w:r>
              <w:rPr>
                <w:rFonts w:cstheme="minorHAnsi"/>
                <w:b/>
                <w:bCs/>
                <w:color w:val="4472C4" w:themeColor="accent1"/>
                <w:sz w:val="24"/>
                <w:szCs w:val="24"/>
              </w:rPr>
              <w:t>4</w:t>
            </w:r>
          </w:p>
        </w:tc>
      </w:tr>
      <w:tr w:rsidR="00356E30" w:rsidRPr="00DB65FA" w14:paraId="2E633875" w14:textId="77777777" w:rsidTr="002E328D">
        <w:trPr>
          <w:trHeight w:val="406"/>
        </w:trPr>
        <w:tc>
          <w:tcPr>
            <w:tcW w:w="704" w:type="dxa"/>
            <w:vAlign w:val="center"/>
          </w:tcPr>
          <w:p w14:paraId="12BCE516" w14:textId="77777777" w:rsidR="00356E30" w:rsidRPr="00DB65FA" w:rsidRDefault="00356E30" w:rsidP="00544339">
            <w:pPr>
              <w:rPr>
                <w:rFonts w:cstheme="minorHAnsi"/>
                <w:b/>
                <w:bCs/>
                <w:color w:val="4472C4" w:themeColor="accent1"/>
                <w:sz w:val="24"/>
                <w:szCs w:val="24"/>
              </w:rPr>
            </w:pPr>
            <w:r w:rsidRPr="00DB65FA">
              <w:rPr>
                <w:rFonts w:cstheme="minorHAnsi"/>
                <w:b/>
                <w:bCs/>
                <w:color w:val="4472C4" w:themeColor="accent1"/>
                <w:sz w:val="24"/>
                <w:szCs w:val="24"/>
              </w:rPr>
              <w:t>3</w:t>
            </w:r>
          </w:p>
        </w:tc>
        <w:tc>
          <w:tcPr>
            <w:tcW w:w="7088" w:type="dxa"/>
            <w:vAlign w:val="center"/>
          </w:tcPr>
          <w:p w14:paraId="73AD3CC1" w14:textId="77777777" w:rsidR="00356E30" w:rsidRPr="00DB65FA" w:rsidRDefault="00356E30" w:rsidP="00544339">
            <w:pPr>
              <w:rPr>
                <w:rFonts w:cstheme="minorHAnsi"/>
                <w:sz w:val="24"/>
                <w:szCs w:val="24"/>
              </w:rPr>
            </w:pPr>
            <w:r w:rsidRPr="00DB65FA">
              <w:rPr>
                <w:rFonts w:cstheme="minorHAnsi"/>
                <w:sz w:val="24"/>
                <w:szCs w:val="24"/>
              </w:rPr>
              <w:t>Scope</w:t>
            </w:r>
          </w:p>
        </w:tc>
        <w:tc>
          <w:tcPr>
            <w:tcW w:w="1224" w:type="dxa"/>
            <w:vAlign w:val="center"/>
          </w:tcPr>
          <w:p w14:paraId="5800B66C" w14:textId="76F6F41E" w:rsidR="00356E30" w:rsidRPr="00DB65FA" w:rsidRDefault="00712CEC" w:rsidP="00544339">
            <w:pPr>
              <w:rPr>
                <w:rFonts w:cstheme="minorHAnsi"/>
                <w:b/>
                <w:bCs/>
                <w:color w:val="4472C4" w:themeColor="accent1"/>
                <w:sz w:val="24"/>
                <w:szCs w:val="24"/>
              </w:rPr>
            </w:pPr>
            <w:r>
              <w:rPr>
                <w:rFonts w:cstheme="minorHAnsi"/>
                <w:b/>
                <w:bCs/>
                <w:color w:val="4472C4" w:themeColor="accent1"/>
                <w:sz w:val="24"/>
                <w:szCs w:val="24"/>
              </w:rPr>
              <w:t>4</w:t>
            </w:r>
          </w:p>
        </w:tc>
      </w:tr>
      <w:tr w:rsidR="00356E30" w:rsidRPr="00DB65FA" w14:paraId="19A307D2" w14:textId="77777777" w:rsidTr="002E328D">
        <w:trPr>
          <w:trHeight w:val="413"/>
        </w:trPr>
        <w:tc>
          <w:tcPr>
            <w:tcW w:w="704" w:type="dxa"/>
            <w:vAlign w:val="center"/>
          </w:tcPr>
          <w:p w14:paraId="2F79B792" w14:textId="77777777" w:rsidR="00356E30" w:rsidRPr="00DB65FA" w:rsidRDefault="00356E30" w:rsidP="00544339">
            <w:pPr>
              <w:rPr>
                <w:rFonts w:cstheme="minorHAnsi"/>
                <w:b/>
                <w:bCs/>
                <w:color w:val="4472C4" w:themeColor="accent1"/>
                <w:sz w:val="24"/>
                <w:szCs w:val="24"/>
              </w:rPr>
            </w:pPr>
            <w:r w:rsidRPr="00DB65FA">
              <w:rPr>
                <w:rFonts w:cstheme="minorHAnsi"/>
                <w:b/>
                <w:bCs/>
                <w:color w:val="4472C4" w:themeColor="accent1"/>
                <w:sz w:val="24"/>
                <w:szCs w:val="24"/>
              </w:rPr>
              <w:t>4</w:t>
            </w:r>
          </w:p>
        </w:tc>
        <w:tc>
          <w:tcPr>
            <w:tcW w:w="7088" w:type="dxa"/>
            <w:vAlign w:val="center"/>
          </w:tcPr>
          <w:p w14:paraId="6B84386C" w14:textId="77777777" w:rsidR="00356E30" w:rsidRPr="00DB65FA" w:rsidRDefault="00356E30" w:rsidP="00544339">
            <w:pPr>
              <w:rPr>
                <w:rFonts w:cstheme="minorHAnsi"/>
                <w:sz w:val="24"/>
                <w:szCs w:val="24"/>
              </w:rPr>
            </w:pPr>
            <w:r w:rsidRPr="00DB65FA">
              <w:rPr>
                <w:rFonts w:cstheme="minorHAnsi"/>
                <w:sz w:val="24"/>
                <w:szCs w:val="24"/>
              </w:rPr>
              <w:t>Purpose</w:t>
            </w:r>
          </w:p>
        </w:tc>
        <w:tc>
          <w:tcPr>
            <w:tcW w:w="1224" w:type="dxa"/>
            <w:vAlign w:val="center"/>
          </w:tcPr>
          <w:p w14:paraId="4A758603" w14:textId="50CADD1F" w:rsidR="00356E30" w:rsidRPr="00DB65FA" w:rsidRDefault="00712CEC" w:rsidP="00544339">
            <w:pPr>
              <w:rPr>
                <w:rFonts w:cstheme="minorHAnsi"/>
                <w:b/>
                <w:bCs/>
                <w:color w:val="4472C4" w:themeColor="accent1"/>
                <w:sz w:val="24"/>
                <w:szCs w:val="24"/>
              </w:rPr>
            </w:pPr>
            <w:r>
              <w:rPr>
                <w:rFonts w:cstheme="minorHAnsi"/>
                <w:b/>
                <w:bCs/>
                <w:color w:val="4472C4" w:themeColor="accent1"/>
                <w:sz w:val="24"/>
                <w:szCs w:val="24"/>
              </w:rPr>
              <w:t>4</w:t>
            </w:r>
          </w:p>
        </w:tc>
      </w:tr>
      <w:tr w:rsidR="00356E30" w:rsidRPr="00DB65FA" w14:paraId="3A29A078" w14:textId="77777777" w:rsidTr="002E328D">
        <w:trPr>
          <w:trHeight w:val="419"/>
        </w:trPr>
        <w:tc>
          <w:tcPr>
            <w:tcW w:w="704" w:type="dxa"/>
            <w:vAlign w:val="center"/>
          </w:tcPr>
          <w:p w14:paraId="1E6FB7E4" w14:textId="77777777" w:rsidR="00356E30" w:rsidRPr="00DB65FA" w:rsidRDefault="00356E30" w:rsidP="00544339">
            <w:pPr>
              <w:rPr>
                <w:rFonts w:cstheme="minorHAnsi"/>
                <w:b/>
                <w:bCs/>
                <w:color w:val="4472C4" w:themeColor="accent1"/>
                <w:sz w:val="24"/>
                <w:szCs w:val="24"/>
              </w:rPr>
            </w:pPr>
            <w:r w:rsidRPr="00DB65FA">
              <w:rPr>
                <w:rFonts w:cstheme="minorHAnsi"/>
                <w:b/>
                <w:bCs/>
                <w:color w:val="4472C4" w:themeColor="accent1"/>
                <w:sz w:val="24"/>
                <w:szCs w:val="24"/>
              </w:rPr>
              <w:t>5</w:t>
            </w:r>
          </w:p>
        </w:tc>
        <w:tc>
          <w:tcPr>
            <w:tcW w:w="7088" w:type="dxa"/>
            <w:vAlign w:val="center"/>
          </w:tcPr>
          <w:p w14:paraId="3EEE6CEF" w14:textId="77777777" w:rsidR="00356E30" w:rsidRPr="00DB65FA" w:rsidRDefault="00356E30" w:rsidP="00544339">
            <w:pPr>
              <w:rPr>
                <w:rFonts w:cstheme="minorHAnsi"/>
                <w:sz w:val="24"/>
                <w:szCs w:val="24"/>
              </w:rPr>
            </w:pPr>
            <w:r w:rsidRPr="00DB65FA">
              <w:rPr>
                <w:rFonts w:cstheme="minorHAnsi"/>
                <w:sz w:val="24"/>
                <w:szCs w:val="24"/>
              </w:rPr>
              <w:t>Model Publication Scheme</w:t>
            </w:r>
          </w:p>
        </w:tc>
        <w:tc>
          <w:tcPr>
            <w:tcW w:w="1224" w:type="dxa"/>
            <w:vAlign w:val="center"/>
          </w:tcPr>
          <w:p w14:paraId="5BD5F51F" w14:textId="20AADFA3" w:rsidR="00356E30" w:rsidRPr="00DB65FA" w:rsidRDefault="00712CEC" w:rsidP="00544339">
            <w:pPr>
              <w:rPr>
                <w:rFonts w:cstheme="minorHAnsi"/>
                <w:b/>
                <w:bCs/>
                <w:color w:val="4472C4" w:themeColor="accent1"/>
                <w:sz w:val="24"/>
                <w:szCs w:val="24"/>
              </w:rPr>
            </w:pPr>
            <w:r>
              <w:rPr>
                <w:rFonts w:cstheme="minorHAnsi"/>
                <w:b/>
                <w:bCs/>
                <w:color w:val="4472C4" w:themeColor="accent1"/>
                <w:sz w:val="24"/>
                <w:szCs w:val="24"/>
              </w:rPr>
              <w:t>4</w:t>
            </w:r>
          </w:p>
        </w:tc>
      </w:tr>
      <w:tr w:rsidR="00356E30" w:rsidRPr="00DB65FA" w14:paraId="7E6BC954" w14:textId="77777777" w:rsidTr="002E328D">
        <w:trPr>
          <w:trHeight w:val="410"/>
        </w:trPr>
        <w:tc>
          <w:tcPr>
            <w:tcW w:w="704" w:type="dxa"/>
            <w:vAlign w:val="center"/>
          </w:tcPr>
          <w:p w14:paraId="69FDFF3F" w14:textId="77777777" w:rsidR="00356E30" w:rsidRPr="00DB65FA" w:rsidRDefault="00356E30" w:rsidP="00356E30">
            <w:pPr>
              <w:rPr>
                <w:rFonts w:cstheme="minorHAnsi"/>
                <w:b/>
                <w:bCs/>
                <w:color w:val="4472C4" w:themeColor="accent1"/>
                <w:sz w:val="24"/>
                <w:szCs w:val="24"/>
              </w:rPr>
            </w:pPr>
            <w:r w:rsidRPr="00DB65FA">
              <w:rPr>
                <w:rFonts w:cstheme="minorHAnsi"/>
                <w:b/>
                <w:bCs/>
                <w:color w:val="4472C4" w:themeColor="accent1"/>
                <w:sz w:val="24"/>
                <w:szCs w:val="24"/>
              </w:rPr>
              <w:t>6</w:t>
            </w:r>
          </w:p>
        </w:tc>
        <w:tc>
          <w:tcPr>
            <w:tcW w:w="7088" w:type="dxa"/>
            <w:vAlign w:val="center"/>
          </w:tcPr>
          <w:p w14:paraId="5036040E" w14:textId="683B9349" w:rsidR="00356E30" w:rsidRPr="00DB65FA" w:rsidRDefault="00356E30" w:rsidP="00356E30">
            <w:pPr>
              <w:rPr>
                <w:rFonts w:cstheme="minorHAnsi"/>
                <w:sz w:val="24"/>
                <w:szCs w:val="24"/>
              </w:rPr>
            </w:pPr>
            <w:r w:rsidRPr="00DB65FA">
              <w:rPr>
                <w:rFonts w:cstheme="minorHAnsi"/>
                <w:sz w:val="24"/>
                <w:szCs w:val="24"/>
              </w:rPr>
              <w:t>Environmental Information Regulations</w:t>
            </w:r>
          </w:p>
        </w:tc>
        <w:tc>
          <w:tcPr>
            <w:tcW w:w="1224" w:type="dxa"/>
            <w:vAlign w:val="center"/>
          </w:tcPr>
          <w:p w14:paraId="434663B4" w14:textId="2A97334C" w:rsidR="00356E30" w:rsidRPr="00DB65FA" w:rsidRDefault="00712CEC" w:rsidP="00356E30">
            <w:pPr>
              <w:rPr>
                <w:rFonts w:cstheme="minorHAnsi"/>
                <w:b/>
                <w:bCs/>
                <w:color w:val="4472C4" w:themeColor="accent1"/>
                <w:sz w:val="24"/>
                <w:szCs w:val="24"/>
              </w:rPr>
            </w:pPr>
            <w:r>
              <w:rPr>
                <w:rFonts w:cstheme="minorHAnsi"/>
                <w:b/>
                <w:bCs/>
                <w:color w:val="4472C4" w:themeColor="accent1"/>
                <w:sz w:val="24"/>
                <w:szCs w:val="24"/>
              </w:rPr>
              <w:t>5</w:t>
            </w:r>
          </w:p>
        </w:tc>
      </w:tr>
      <w:tr w:rsidR="00356E30" w:rsidRPr="00DB65FA" w14:paraId="2E94E138" w14:textId="77777777" w:rsidTr="002E328D">
        <w:trPr>
          <w:trHeight w:val="416"/>
        </w:trPr>
        <w:tc>
          <w:tcPr>
            <w:tcW w:w="704" w:type="dxa"/>
            <w:vAlign w:val="center"/>
          </w:tcPr>
          <w:p w14:paraId="08178CA9" w14:textId="77777777" w:rsidR="00356E30" w:rsidRPr="00DB65FA" w:rsidRDefault="00356E30" w:rsidP="00356E30">
            <w:pPr>
              <w:rPr>
                <w:rFonts w:cstheme="minorHAnsi"/>
                <w:b/>
                <w:bCs/>
                <w:color w:val="4472C4" w:themeColor="accent1"/>
                <w:sz w:val="24"/>
                <w:szCs w:val="24"/>
              </w:rPr>
            </w:pPr>
            <w:r w:rsidRPr="00DB65FA">
              <w:rPr>
                <w:rFonts w:cstheme="minorHAnsi"/>
                <w:b/>
                <w:bCs/>
                <w:color w:val="4472C4" w:themeColor="accent1"/>
                <w:sz w:val="24"/>
                <w:szCs w:val="24"/>
              </w:rPr>
              <w:t>7</w:t>
            </w:r>
          </w:p>
        </w:tc>
        <w:tc>
          <w:tcPr>
            <w:tcW w:w="7088" w:type="dxa"/>
            <w:vAlign w:val="center"/>
          </w:tcPr>
          <w:p w14:paraId="0A7BEDAA" w14:textId="04D2BA2E" w:rsidR="00356E30" w:rsidRPr="00DB65FA" w:rsidRDefault="00356E30" w:rsidP="00356E30">
            <w:pPr>
              <w:rPr>
                <w:rFonts w:cstheme="minorHAnsi"/>
                <w:sz w:val="24"/>
                <w:szCs w:val="24"/>
              </w:rPr>
            </w:pPr>
            <w:r w:rsidRPr="00DB65FA">
              <w:rPr>
                <w:rFonts w:cstheme="minorHAnsi"/>
                <w:sz w:val="24"/>
                <w:szCs w:val="24"/>
              </w:rPr>
              <w:t>Training</w:t>
            </w:r>
          </w:p>
        </w:tc>
        <w:tc>
          <w:tcPr>
            <w:tcW w:w="1224" w:type="dxa"/>
            <w:vAlign w:val="center"/>
          </w:tcPr>
          <w:p w14:paraId="4F59440F" w14:textId="2A584173" w:rsidR="00356E30" w:rsidRPr="00DB65FA" w:rsidRDefault="00712CEC" w:rsidP="00356E30">
            <w:pPr>
              <w:rPr>
                <w:rFonts w:cstheme="minorHAnsi"/>
                <w:b/>
                <w:bCs/>
                <w:color w:val="4472C4" w:themeColor="accent1"/>
                <w:sz w:val="24"/>
                <w:szCs w:val="24"/>
              </w:rPr>
            </w:pPr>
            <w:r>
              <w:rPr>
                <w:rFonts w:cstheme="minorHAnsi"/>
                <w:b/>
                <w:bCs/>
                <w:color w:val="4472C4" w:themeColor="accent1"/>
                <w:sz w:val="24"/>
                <w:szCs w:val="24"/>
              </w:rPr>
              <w:t>5</w:t>
            </w:r>
          </w:p>
        </w:tc>
      </w:tr>
      <w:tr w:rsidR="00356E30" w:rsidRPr="00DB65FA" w14:paraId="27C8766B" w14:textId="77777777" w:rsidTr="002E328D">
        <w:trPr>
          <w:trHeight w:val="409"/>
        </w:trPr>
        <w:tc>
          <w:tcPr>
            <w:tcW w:w="704" w:type="dxa"/>
            <w:vAlign w:val="center"/>
          </w:tcPr>
          <w:p w14:paraId="2090FF28" w14:textId="77777777" w:rsidR="00356E30" w:rsidRPr="00DB65FA" w:rsidRDefault="00356E30" w:rsidP="00356E30">
            <w:pPr>
              <w:rPr>
                <w:rFonts w:cstheme="minorHAnsi"/>
                <w:b/>
                <w:bCs/>
                <w:color w:val="4472C4" w:themeColor="accent1"/>
                <w:sz w:val="24"/>
                <w:szCs w:val="24"/>
              </w:rPr>
            </w:pPr>
            <w:r w:rsidRPr="00DB65FA">
              <w:rPr>
                <w:rFonts w:cstheme="minorHAnsi"/>
                <w:b/>
                <w:bCs/>
                <w:color w:val="4472C4" w:themeColor="accent1"/>
                <w:sz w:val="24"/>
                <w:szCs w:val="24"/>
              </w:rPr>
              <w:t>8</w:t>
            </w:r>
          </w:p>
        </w:tc>
        <w:tc>
          <w:tcPr>
            <w:tcW w:w="7088" w:type="dxa"/>
            <w:vAlign w:val="center"/>
          </w:tcPr>
          <w:p w14:paraId="759964E4" w14:textId="0914EF78" w:rsidR="00356E30" w:rsidRPr="00DB65FA" w:rsidRDefault="00356E30" w:rsidP="00356E30">
            <w:pPr>
              <w:rPr>
                <w:rFonts w:cstheme="minorHAnsi"/>
                <w:sz w:val="24"/>
                <w:szCs w:val="24"/>
              </w:rPr>
            </w:pPr>
            <w:r w:rsidRPr="00DB65FA">
              <w:rPr>
                <w:rFonts w:cstheme="minorHAnsi"/>
                <w:sz w:val="24"/>
                <w:szCs w:val="24"/>
              </w:rPr>
              <w:t>Consultation / Dissemination</w:t>
            </w:r>
          </w:p>
        </w:tc>
        <w:tc>
          <w:tcPr>
            <w:tcW w:w="1224" w:type="dxa"/>
            <w:vAlign w:val="center"/>
          </w:tcPr>
          <w:p w14:paraId="18C063FC" w14:textId="5266E9D8" w:rsidR="00356E30" w:rsidRPr="00DB65FA" w:rsidRDefault="00712CEC" w:rsidP="00356E30">
            <w:pPr>
              <w:rPr>
                <w:rFonts w:cstheme="minorHAnsi"/>
                <w:b/>
                <w:bCs/>
                <w:color w:val="4472C4" w:themeColor="accent1"/>
                <w:sz w:val="24"/>
                <w:szCs w:val="24"/>
              </w:rPr>
            </w:pPr>
            <w:r>
              <w:rPr>
                <w:rFonts w:cstheme="minorHAnsi"/>
                <w:b/>
                <w:bCs/>
                <w:color w:val="4472C4" w:themeColor="accent1"/>
                <w:sz w:val="24"/>
                <w:szCs w:val="24"/>
              </w:rPr>
              <w:t>6</w:t>
            </w:r>
          </w:p>
        </w:tc>
      </w:tr>
      <w:tr w:rsidR="00356E30" w:rsidRPr="00DB65FA" w14:paraId="7958C4EC" w14:textId="77777777" w:rsidTr="002E328D">
        <w:trPr>
          <w:trHeight w:val="415"/>
        </w:trPr>
        <w:tc>
          <w:tcPr>
            <w:tcW w:w="704" w:type="dxa"/>
            <w:vAlign w:val="center"/>
          </w:tcPr>
          <w:p w14:paraId="50739F5E" w14:textId="77777777" w:rsidR="00356E30" w:rsidRPr="00DB65FA" w:rsidRDefault="00356E30" w:rsidP="00356E30">
            <w:pPr>
              <w:rPr>
                <w:rFonts w:cstheme="minorHAnsi"/>
                <w:b/>
                <w:bCs/>
                <w:color w:val="4472C4" w:themeColor="accent1"/>
                <w:sz w:val="24"/>
                <w:szCs w:val="24"/>
              </w:rPr>
            </w:pPr>
            <w:r w:rsidRPr="00DB65FA">
              <w:rPr>
                <w:rFonts w:cstheme="minorHAnsi"/>
                <w:b/>
                <w:bCs/>
                <w:color w:val="4472C4" w:themeColor="accent1"/>
                <w:sz w:val="24"/>
                <w:szCs w:val="24"/>
              </w:rPr>
              <w:t>9</w:t>
            </w:r>
          </w:p>
        </w:tc>
        <w:tc>
          <w:tcPr>
            <w:tcW w:w="7088" w:type="dxa"/>
            <w:vAlign w:val="center"/>
          </w:tcPr>
          <w:p w14:paraId="7EB5B156" w14:textId="39306DE9" w:rsidR="00356E30" w:rsidRPr="00DB65FA" w:rsidRDefault="00356E30" w:rsidP="00356E30">
            <w:pPr>
              <w:rPr>
                <w:rFonts w:cstheme="minorHAnsi"/>
                <w:sz w:val="24"/>
                <w:szCs w:val="24"/>
              </w:rPr>
            </w:pPr>
            <w:r w:rsidRPr="00DB65FA">
              <w:rPr>
                <w:rFonts w:cstheme="minorHAnsi"/>
                <w:sz w:val="24"/>
                <w:szCs w:val="24"/>
              </w:rPr>
              <w:t>Monitoring compliance and effectiveness of the policy</w:t>
            </w:r>
          </w:p>
        </w:tc>
        <w:tc>
          <w:tcPr>
            <w:tcW w:w="1224" w:type="dxa"/>
            <w:vAlign w:val="center"/>
          </w:tcPr>
          <w:p w14:paraId="1B61286E" w14:textId="384B4778" w:rsidR="00356E30" w:rsidRPr="00DB65FA" w:rsidRDefault="00712CEC" w:rsidP="00356E30">
            <w:pPr>
              <w:rPr>
                <w:rFonts w:cstheme="minorHAnsi"/>
                <w:b/>
                <w:bCs/>
                <w:color w:val="4472C4" w:themeColor="accent1"/>
                <w:sz w:val="24"/>
                <w:szCs w:val="24"/>
              </w:rPr>
            </w:pPr>
            <w:r>
              <w:rPr>
                <w:rFonts w:cstheme="minorHAnsi"/>
                <w:b/>
                <w:bCs/>
                <w:color w:val="4472C4" w:themeColor="accent1"/>
                <w:sz w:val="24"/>
                <w:szCs w:val="24"/>
              </w:rPr>
              <w:t>6</w:t>
            </w:r>
          </w:p>
        </w:tc>
      </w:tr>
      <w:tr w:rsidR="00356E30" w:rsidRPr="00DB65FA" w14:paraId="0F346357" w14:textId="77777777" w:rsidTr="002E328D">
        <w:trPr>
          <w:trHeight w:val="420"/>
        </w:trPr>
        <w:tc>
          <w:tcPr>
            <w:tcW w:w="704" w:type="dxa"/>
            <w:vAlign w:val="center"/>
          </w:tcPr>
          <w:p w14:paraId="5D877E14" w14:textId="77777777" w:rsidR="00356E30" w:rsidRPr="00DB65FA" w:rsidRDefault="00356E30" w:rsidP="00356E30">
            <w:pPr>
              <w:rPr>
                <w:rFonts w:cstheme="minorHAnsi"/>
                <w:b/>
                <w:bCs/>
                <w:color w:val="4472C4" w:themeColor="accent1"/>
                <w:sz w:val="24"/>
                <w:szCs w:val="24"/>
              </w:rPr>
            </w:pPr>
            <w:r w:rsidRPr="00DB65FA">
              <w:rPr>
                <w:rFonts w:cstheme="minorHAnsi"/>
                <w:b/>
                <w:bCs/>
                <w:color w:val="4472C4" w:themeColor="accent1"/>
                <w:sz w:val="24"/>
                <w:szCs w:val="24"/>
              </w:rPr>
              <w:t>10</w:t>
            </w:r>
          </w:p>
        </w:tc>
        <w:tc>
          <w:tcPr>
            <w:tcW w:w="7088" w:type="dxa"/>
            <w:vAlign w:val="center"/>
          </w:tcPr>
          <w:p w14:paraId="31FCB848" w14:textId="7B33C57F" w:rsidR="00356E30" w:rsidRPr="00DB65FA" w:rsidRDefault="00356E30" w:rsidP="00356E30">
            <w:pPr>
              <w:rPr>
                <w:rFonts w:cstheme="minorHAnsi"/>
                <w:sz w:val="24"/>
                <w:szCs w:val="24"/>
                <w:shd w:val="clear" w:color="auto" w:fill="FFFFFF"/>
              </w:rPr>
            </w:pPr>
            <w:r w:rsidRPr="00DB65FA">
              <w:rPr>
                <w:rFonts w:cstheme="minorHAnsi"/>
                <w:sz w:val="24"/>
                <w:szCs w:val="24"/>
              </w:rPr>
              <w:t>Document review frequency and version control</w:t>
            </w:r>
          </w:p>
        </w:tc>
        <w:tc>
          <w:tcPr>
            <w:tcW w:w="1224" w:type="dxa"/>
            <w:vAlign w:val="center"/>
          </w:tcPr>
          <w:p w14:paraId="47367507" w14:textId="4982C7D7" w:rsidR="00356E30" w:rsidRPr="00DB65FA" w:rsidRDefault="00712CEC" w:rsidP="00356E30">
            <w:pPr>
              <w:rPr>
                <w:rFonts w:cstheme="minorHAnsi"/>
                <w:b/>
                <w:bCs/>
                <w:color w:val="4472C4" w:themeColor="accent1"/>
                <w:sz w:val="24"/>
                <w:szCs w:val="24"/>
              </w:rPr>
            </w:pPr>
            <w:r>
              <w:rPr>
                <w:rFonts w:cstheme="minorHAnsi"/>
                <w:b/>
                <w:bCs/>
                <w:color w:val="4472C4" w:themeColor="accent1"/>
                <w:sz w:val="24"/>
                <w:szCs w:val="24"/>
              </w:rPr>
              <w:t>6</w:t>
            </w:r>
          </w:p>
        </w:tc>
      </w:tr>
      <w:tr w:rsidR="00356E30" w:rsidRPr="00DB65FA" w14:paraId="1DAA2D32" w14:textId="77777777" w:rsidTr="00544339">
        <w:trPr>
          <w:trHeight w:val="562"/>
        </w:trPr>
        <w:tc>
          <w:tcPr>
            <w:tcW w:w="9016" w:type="dxa"/>
            <w:gridSpan w:val="3"/>
            <w:shd w:val="clear" w:color="auto" w:fill="D0CECE" w:themeFill="background2" w:themeFillShade="E6"/>
            <w:vAlign w:val="center"/>
          </w:tcPr>
          <w:p w14:paraId="49D8CFD6" w14:textId="09F8DCE9" w:rsidR="00356E30" w:rsidRPr="00DB65FA" w:rsidRDefault="00356E30" w:rsidP="00356E30">
            <w:pPr>
              <w:rPr>
                <w:rFonts w:cstheme="minorHAnsi"/>
                <w:b/>
                <w:bCs/>
                <w:color w:val="4472C4" w:themeColor="accent1"/>
                <w:sz w:val="24"/>
                <w:szCs w:val="24"/>
              </w:rPr>
            </w:pPr>
            <w:r>
              <w:rPr>
                <w:rFonts w:cstheme="minorHAnsi"/>
                <w:b/>
                <w:bCs/>
                <w:color w:val="4472C4" w:themeColor="accent1"/>
                <w:sz w:val="24"/>
                <w:szCs w:val="24"/>
              </w:rPr>
              <w:t xml:space="preserve">Part </w:t>
            </w:r>
            <w:r w:rsidR="00142937">
              <w:rPr>
                <w:rFonts w:cstheme="minorHAnsi"/>
                <w:b/>
                <w:bCs/>
                <w:color w:val="4472C4" w:themeColor="accent1"/>
                <w:sz w:val="24"/>
                <w:szCs w:val="24"/>
              </w:rPr>
              <w:t>One</w:t>
            </w:r>
            <w:r>
              <w:rPr>
                <w:rFonts w:cstheme="minorHAnsi"/>
                <w:b/>
                <w:bCs/>
                <w:color w:val="4472C4" w:themeColor="accent1"/>
                <w:sz w:val="24"/>
                <w:szCs w:val="24"/>
              </w:rPr>
              <w:t xml:space="preserve"> - </w:t>
            </w:r>
            <w:r w:rsidRPr="00DB65FA">
              <w:rPr>
                <w:rFonts w:cstheme="minorHAnsi"/>
                <w:b/>
                <w:bCs/>
                <w:color w:val="4472C4" w:themeColor="accent1"/>
                <w:sz w:val="24"/>
                <w:szCs w:val="24"/>
              </w:rPr>
              <w:t>Appendices</w:t>
            </w:r>
          </w:p>
        </w:tc>
      </w:tr>
      <w:tr w:rsidR="00356E30" w:rsidRPr="00DB65FA" w14:paraId="64C53551" w14:textId="77777777" w:rsidTr="002E328D">
        <w:trPr>
          <w:trHeight w:val="420"/>
        </w:trPr>
        <w:tc>
          <w:tcPr>
            <w:tcW w:w="704" w:type="dxa"/>
            <w:vAlign w:val="center"/>
          </w:tcPr>
          <w:p w14:paraId="24949E0C" w14:textId="77777777" w:rsidR="00356E30" w:rsidRPr="00DB65FA" w:rsidRDefault="00356E30" w:rsidP="00356E30">
            <w:pPr>
              <w:rPr>
                <w:rFonts w:cstheme="minorHAnsi"/>
                <w:b/>
                <w:bCs/>
                <w:color w:val="4472C4" w:themeColor="accent1"/>
                <w:sz w:val="24"/>
                <w:szCs w:val="24"/>
              </w:rPr>
            </w:pPr>
            <w:r w:rsidRPr="00DB65FA">
              <w:rPr>
                <w:rFonts w:cstheme="minorHAnsi"/>
                <w:b/>
                <w:bCs/>
                <w:color w:val="4472C4" w:themeColor="accent1"/>
                <w:sz w:val="24"/>
                <w:szCs w:val="24"/>
              </w:rPr>
              <w:t>A</w:t>
            </w:r>
          </w:p>
        </w:tc>
        <w:tc>
          <w:tcPr>
            <w:tcW w:w="7088" w:type="dxa"/>
            <w:vAlign w:val="center"/>
          </w:tcPr>
          <w:p w14:paraId="748005C0" w14:textId="77777777" w:rsidR="00356E30" w:rsidRPr="00DB65FA" w:rsidRDefault="00356E30" w:rsidP="00356E30">
            <w:pPr>
              <w:rPr>
                <w:rFonts w:cstheme="minorHAnsi"/>
                <w:sz w:val="24"/>
                <w:szCs w:val="24"/>
              </w:rPr>
            </w:pPr>
            <w:r w:rsidRPr="00DB65FA">
              <w:rPr>
                <w:rFonts w:cstheme="minorHAnsi"/>
                <w:sz w:val="24"/>
                <w:szCs w:val="24"/>
              </w:rPr>
              <w:t>Definitions, Legislation and Guidance</w:t>
            </w:r>
          </w:p>
        </w:tc>
        <w:tc>
          <w:tcPr>
            <w:tcW w:w="1224" w:type="dxa"/>
            <w:vAlign w:val="center"/>
          </w:tcPr>
          <w:p w14:paraId="6E699D52" w14:textId="680E88D3" w:rsidR="00356E30" w:rsidRPr="00DB65FA" w:rsidRDefault="00712CEC" w:rsidP="00356E30">
            <w:pPr>
              <w:rPr>
                <w:rFonts w:cstheme="minorHAnsi"/>
                <w:b/>
                <w:bCs/>
                <w:color w:val="4472C4" w:themeColor="accent1"/>
                <w:sz w:val="24"/>
                <w:szCs w:val="24"/>
              </w:rPr>
            </w:pPr>
            <w:r>
              <w:rPr>
                <w:rFonts w:cstheme="minorHAnsi"/>
                <w:b/>
                <w:bCs/>
                <w:color w:val="4472C4" w:themeColor="accent1"/>
                <w:sz w:val="24"/>
                <w:szCs w:val="24"/>
              </w:rPr>
              <w:t>7</w:t>
            </w:r>
          </w:p>
        </w:tc>
      </w:tr>
      <w:tr w:rsidR="00356E30" w:rsidRPr="00DB65FA" w14:paraId="3B162BF6" w14:textId="77777777" w:rsidTr="002E328D">
        <w:trPr>
          <w:trHeight w:val="413"/>
        </w:trPr>
        <w:tc>
          <w:tcPr>
            <w:tcW w:w="704" w:type="dxa"/>
            <w:vAlign w:val="center"/>
          </w:tcPr>
          <w:p w14:paraId="7C9B5F3B" w14:textId="77777777" w:rsidR="00356E30" w:rsidRPr="00DB65FA" w:rsidRDefault="00356E30" w:rsidP="00356E30">
            <w:pPr>
              <w:rPr>
                <w:rFonts w:cstheme="minorHAnsi"/>
                <w:b/>
                <w:bCs/>
                <w:color w:val="4472C4" w:themeColor="accent1"/>
                <w:sz w:val="24"/>
                <w:szCs w:val="24"/>
              </w:rPr>
            </w:pPr>
            <w:r w:rsidRPr="00DB65FA">
              <w:rPr>
                <w:rFonts w:cstheme="minorHAnsi"/>
                <w:b/>
                <w:bCs/>
                <w:color w:val="4472C4" w:themeColor="accent1"/>
                <w:sz w:val="24"/>
                <w:szCs w:val="24"/>
              </w:rPr>
              <w:t>B</w:t>
            </w:r>
          </w:p>
        </w:tc>
        <w:tc>
          <w:tcPr>
            <w:tcW w:w="7088" w:type="dxa"/>
            <w:vAlign w:val="center"/>
          </w:tcPr>
          <w:p w14:paraId="6FA14F78" w14:textId="77777777" w:rsidR="00356E30" w:rsidRPr="00DB65FA" w:rsidRDefault="00356E30" w:rsidP="00356E30">
            <w:pPr>
              <w:rPr>
                <w:rFonts w:cstheme="minorHAnsi"/>
                <w:sz w:val="24"/>
                <w:szCs w:val="24"/>
              </w:rPr>
            </w:pPr>
            <w:r w:rsidRPr="00DB65FA">
              <w:rPr>
                <w:rFonts w:cstheme="minorHAnsi"/>
                <w:sz w:val="24"/>
                <w:szCs w:val="24"/>
              </w:rPr>
              <w:t>Roles and Responsibilities</w:t>
            </w:r>
          </w:p>
        </w:tc>
        <w:tc>
          <w:tcPr>
            <w:tcW w:w="1224" w:type="dxa"/>
            <w:vAlign w:val="center"/>
          </w:tcPr>
          <w:p w14:paraId="1A72A44F" w14:textId="7FAD90F8" w:rsidR="00356E30" w:rsidRPr="00DB65FA" w:rsidRDefault="00712CEC" w:rsidP="00356E30">
            <w:pPr>
              <w:rPr>
                <w:rFonts w:cstheme="minorHAnsi"/>
                <w:b/>
                <w:bCs/>
                <w:color w:val="4472C4" w:themeColor="accent1"/>
                <w:sz w:val="24"/>
                <w:szCs w:val="24"/>
              </w:rPr>
            </w:pPr>
            <w:r>
              <w:rPr>
                <w:rFonts w:cstheme="minorHAnsi"/>
                <w:b/>
                <w:bCs/>
                <w:color w:val="4472C4" w:themeColor="accent1"/>
                <w:sz w:val="24"/>
                <w:szCs w:val="24"/>
              </w:rPr>
              <w:t>8</w:t>
            </w:r>
          </w:p>
        </w:tc>
      </w:tr>
      <w:tr w:rsidR="00356E30" w:rsidRPr="00DB65FA" w14:paraId="1B41D855" w14:textId="77777777" w:rsidTr="002E328D">
        <w:trPr>
          <w:trHeight w:val="405"/>
        </w:trPr>
        <w:tc>
          <w:tcPr>
            <w:tcW w:w="704" w:type="dxa"/>
            <w:vAlign w:val="center"/>
          </w:tcPr>
          <w:p w14:paraId="5CA15E39" w14:textId="77777777" w:rsidR="00356E30" w:rsidRPr="00DB65FA" w:rsidRDefault="00356E30" w:rsidP="00356E30">
            <w:pPr>
              <w:rPr>
                <w:rFonts w:cstheme="minorHAnsi"/>
                <w:b/>
                <w:bCs/>
                <w:color w:val="4472C4" w:themeColor="accent1"/>
                <w:sz w:val="24"/>
                <w:szCs w:val="24"/>
              </w:rPr>
            </w:pPr>
            <w:r w:rsidRPr="00DB65FA">
              <w:rPr>
                <w:rFonts w:cstheme="minorHAnsi"/>
                <w:b/>
                <w:bCs/>
                <w:color w:val="4472C4" w:themeColor="accent1"/>
                <w:sz w:val="24"/>
                <w:szCs w:val="24"/>
              </w:rPr>
              <w:t>C</w:t>
            </w:r>
          </w:p>
        </w:tc>
        <w:tc>
          <w:tcPr>
            <w:tcW w:w="7088" w:type="dxa"/>
            <w:vAlign w:val="center"/>
          </w:tcPr>
          <w:p w14:paraId="35A89317" w14:textId="7CAB8944" w:rsidR="00356E30" w:rsidRPr="00DB65FA" w:rsidRDefault="00356E30" w:rsidP="00356E30">
            <w:pPr>
              <w:rPr>
                <w:rFonts w:cstheme="minorHAnsi"/>
                <w:sz w:val="24"/>
                <w:szCs w:val="24"/>
              </w:rPr>
            </w:pPr>
            <w:r w:rsidRPr="00DB65FA">
              <w:rPr>
                <w:rFonts w:cstheme="minorHAnsi"/>
                <w:sz w:val="24"/>
                <w:szCs w:val="24"/>
              </w:rPr>
              <w:t>Model Publication Scheme</w:t>
            </w:r>
          </w:p>
        </w:tc>
        <w:tc>
          <w:tcPr>
            <w:tcW w:w="1224" w:type="dxa"/>
            <w:vAlign w:val="center"/>
          </w:tcPr>
          <w:p w14:paraId="1F1F9FCA" w14:textId="1324931A" w:rsidR="00356E30" w:rsidRPr="00DB65FA" w:rsidRDefault="00712CEC" w:rsidP="00356E30">
            <w:pPr>
              <w:rPr>
                <w:rFonts w:cstheme="minorHAnsi"/>
                <w:b/>
                <w:bCs/>
                <w:color w:val="4472C4" w:themeColor="accent1"/>
                <w:sz w:val="24"/>
                <w:szCs w:val="24"/>
              </w:rPr>
            </w:pPr>
            <w:r>
              <w:rPr>
                <w:rFonts w:cstheme="minorHAnsi"/>
                <w:b/>
                <w:bCs/>
                <w:color w:val="4472C4" w:themeColor="accent1"/>
                <w:sz w:val="24"/>
                <w:szCs w:val="24"/>
              </w:rPr>
              <w:t>9</w:t>
            </w:r>
          </w:p>
        </w:tc>
      </w:tr>
      <w:tr w:rsidR="00356E30" w:rsidRPr="00DB65FA" w14:paraId="5739EB92" w14:textId="77777777" w:rsidTr="00356E30">
        <w:trPr>
          <w:trHeight w:val="562"/>
        </w:trPr>
        <w:tc>
          <w:tcPr>
            <w:tcW w:w="9016" w:type="dxa"/>
            <w:gridSpan w:val="3"/>
            <w:shd w:val="clear" w:color="auto" w:fill="BFBFBF" w:themeFill="background1" w:themeFillShade="BF"/>
            <w:vAlign w:val="center"/>
          </w:tcPr>
          <w:p w14:paraId="76272817" w14:textId="624423DA" w:rsidR="00356E30" w:rsidRPr="00DB65FA" w:rsidRDefault="00356E30" w:rsidP="00356E30">
            <w:pPr>
              <w:rPr>
                <w:rFonts w:cstheme="minorHAnsi"/>
                <w:b/>
                <w:bCs/>
                <w:color w:val="4472C4" w:themeColor="accent1"/>
                <w:sz w:val="24"/>
                <w:szCs w:val="24"/>
              </w:rPr>
            </w:pPr>
            <w:r>
              <w:rPr>
                <w:rFonts w:cstheme="minorHAnsi"/>
                <w:b/>
                <w:bCs/>
                <w:color w:val="4472C4" w:themeColor="accent1"/>
                <w:sz w:val="24"/>
                <w:szCs w:val="24"/>
              </w:rPr>
              <w:t xml:space="preserve">Part </w:t>
            </w:r>
            <w:r w:rsidR="00142937">
              <w:rPr>
                <w:rFonts w:cstheme="minorHAnsi"/>
                <w:b/>
                <w:bCs/>
                <w:color w:val="4472C4" w:themeColor="accent1"/>
                <w:sz w:val="24"/>
                <w:szCs w:val="24"/>
              </w:rPr>
              <w:t>Two</w:t>
            </w:r>
            <w:r>
              <w:rPr>
                <w:rFonts w:cstheme="minorHAnsi"/>
                <w:b/>
                <w:bCs/>
                <w:color w:val="4472C4" w:themeColor="accent1"/>
                <w:sz w:val="24"/>
                <w:szCs w:val="24"/>
              </w:rPr>
              <w:t xml:space="preserve"> – Procedural </w:t>
            </w:r>
            <w:r w:rsidR="00712CEC">
              <w:rPr>
                <w:rFonts w:cstheme="minorHAnsi"/>
                <w:b/>
                <w:bCs/>
                <w:color w:val="4472C4" w:themeColor="accent1"/>
                <w:sz w:val="24"/>
                <w:szCs w:val="24"/>
              </w:rPr>
              <w:t>G</w:t>
            </w:r>
            <w:r>
              <w:rPr>
                <w:rFonts w:cstheme="minorHAnsi"/>
                <w:b/>
                <w:bCs/>
                <w:color w:val="4472C4" w:themeColor="accent1"/>
                <w:sz w:val="24"/>
                <w:szCs w:val="24"/>
              </w:rPr>
              <w:t>uidance</w:t>
            </w:r>
          </w:p>
        </w:tc>
      </w:tr>
      <w:tr w:rsidR="00356E30" w:rsidRPr="00DB65FA" w14:paraId="6B598F22" w14:textId="77777777" w:rsidTr="002E328D">
        <w:trPr>
          <w:trHeight w:val="418"/>
        </w:trPr>
        <w:tc>
          <w:tcPr>
            <w:tcW w:w="704" w:type="dxa"/>
            <w:vAlign w:val="center"/>
          </w:tcPr>
          <w:p w14:paraId="017D74DA" w14:textId="0451E664" w:rsidR="00356E30" w:rsidRPr="00DB65FA" w:rsidRDefault="00356E30" w:rsidP="00356E30">
            <w:pPr>
              <w:rPr>
                <w:rFonts w:cstheme="minorHAnsi"/>
                <w:b/>
                <w:bCs/>
                <w:color w:val="4472C4" w:themeColor="accent1"/>
                <w:sz w:val="24"/>
                <w:szCs w:val="24"/>
              </w:rPr>
            </w:pPr>
            <w:r>
              <w:rPr>
                <w:rFonts w:cstheme="minorHAnsi"/>
                <w:b/>
                <w:bCs/>
                <w:color w:val="4472C4" w:themeColor="accent1"/>
                <w:sz w:val="24"/>
                <w:szCs w:val="24"/>
              </w:rPr>
              <w:t>1</w:t>
            </w:r>
          </w:p>
        </w:tc>
        <w:tc>
          <w:tcPr>
            <w:tcW w:w="7088" w:type="dxa"/>
            <w:vAlign w:val="center"/>
          </w:tcPr>
          <w:p w14:paraId="44F88179" w14:textId="569B4D63" w:rsidR="00356E30" w:rsidRPr="00DB65FA" w:rsidRDefault="00356E30" w:rsidP="00356E30">
            <w:pPr>
              <w:rPr>
                <w:rFonts w:cstheme="minorHAnsi"/>
                <w:sz w:val="24"/>
                <w:szCs w:val="24"/>
              </w:rPr>
            </w:pPr>
            <w:r w:rsidRPr="00DB65FA">
              <w:rPr>
                <w:rFonts w:cstheme="minorHAnsi"/>
                <w:sz w:val="24"/>
                <w:szCs w:val="24"/>
              </w:rPr>
              <w:t>Receiving a request</w:t>
            </w:r>
          </w:p>
        </w:tc>
        <w:tc>
          <w:tcPr>
            <w:tcW w:w="1224" w:type="dxa"/>
            <w:vAlign w:val="center"/>
          </w:tcPr>
          <w:p w14:paraId="0C8BD43B" w14:textId="1EA67425" w:rsidR="00356E30" w:rsidRPr="00DB65FA" w:rsidRDefault="00252E9F" w:rsidP="00356E30">
            <w:pPr>
              <w:rPr>
                <w:rFonts w:cstheme="minorHAnsi"/>
                <w:b/>
                <w:bCs/>
                <w:color w:val="4472C4" w:themeColor="accent1"/>
                <w:sz w:val="24"/>
                <w:szCs w:val="24"/>
              </w:rPr>
            </w:pPr>
            <w:r>
              <w:rPr>
                <w:rFonts w:cstheme="minorHAnsi"/>
                <w:b/>
                <w:bCs/>
                <w:color w:val="4472C4" w:themeColor="accent1"/>
                <w:sz w:val="24"/>
                <w:szCs w:val="24"/>
              </w:rPr>
              <w:t>1</w:t>
            </w:r>
            <w:r w:rsidR="00712CEC">
              <w:rPr>
                <w:rFonts w:cstheme="minorHAnsi"/>
                <w:b/>
                <w:bCs/>
                <w:color w:val="4472C4" w:themeColor="accent1"/>
                <w:sz w:val="24"/>
                <w:szCs w:val="24"/>
              </w:rPr>
              <w:t>5</w:t>
            </w:r>
          </w:p>
        </w:tc>
      </w:tr>
      <w:tr w:rsidR="00356E30" w:rsidRPr="00DB65FA" w14:paraId="0C695447" w14:textId="77777777" w:rsidTr="002E328D">
        <w:trPr>
          <w:trHeight w:val="424"/>
        </w:trPr>
        <w:tc>
          <w:tcPr>
            <w:tcW w:w="704" w:type="dxa"/>
            <w:vAlign w:val="center"/>
          </w:tcPr>
          <w:p w14:paraId="01331017" w14:textId="0E860333" w:rsidR="00356E30" w:rsidRPr="00DB65FA" w:rsidRDefault="00712CEC" w:rsidP="00356E30">
            <w:pPr>
              <w:rPr>
                <w:rFonts w:cstheme="minorHAnsi"/>
                <w:b/>
                <w:bCs/>
                <w:color w:val="4472C4" w:themeColor="accent1"/>
                <w:sz w:val="24"/>
                <w:szCs w:val="24"/>
              </w:rPr>
            </w:pPr>
            <w:r>
              <w:rPr>
                <w:rFonts w:cstheme="minorHAnsi"/>
                <w:b/>
                <w:bCs/>
                <w:color w:val="4472C4" w:themeColor="accent1"/>
                <w:sz w:val="24"/>
                <w:szCs w:val="24"/>
              </w:rPr>
              <w:t>2</w:t>
            </w:r>
          </w:p>
        </w:tc>
        <w:tc>
          <w:tcPr>
            <w:tcW w:w="7088" w:type="dxa"/>
            <w:vAlign w:val="center"/>
          </w:tcPr>
          <w:p w14:paraId="1EFCFEFA" w14:textId="6CA378DE" w:rsidR="00356E30" w:rsidRPr="00DB65FA" w:rsidRDefault="00356E30" w:rsidP="00356E30">
            <w:pPr>
              <w:rPr>
                <w:rFonts w:cstheme="minorHAnsi"/>
                <w:sz w:val="24"/>
                <w:szCs w:val="24"/>
              </w:rPr>
            </w:pPr>
            <w:r w:rsidRPr="00DB65FA">
              <w:rPr>
                <w:rFonts w:cstheme="minorHAnsi"/>
                <w:sz w:val="24"/>
                <w:szCs w:val="24"/>
              </w:rPr>
              <w:t xml:space="preserve">Refusals to respond </w:t>
            </w:r>
          </w:p>
        </w:tc>
        <w:tc>
          <w:tcPr>
            <w:tcW w:w="1224" w:type="dxa"/>
            <w:vAlign w:val="center"/>
          </w:tcPr>
          <w:p w14:paraId="6ACE6E46" w14:textId="2B3EEAA9" w:rsidR="00356E30" w:rsidRPr="00DB65FA" w:rsidRDefault="00252E9F" w:rsidP="00356E30">
            <w:pPr>
              <w:rPr>
                <w:rFonts w:cstheme="minorHAnsi"/>
                <w:b/>
                <w:bCs/>
                <w:color w:val="4472C4" w:themeColor="accent1"/>
                <w:sz w:val="24"/>
                <w:szCs w:val="24"/>
              </w:rPr>
            </w:pPr>
            <w:r>
              <w:rPr>
                <w:rFonts w:cstheme="minorHAnsi"/>
                <w:b/>
                <w:bCs/>
                <w:color w:val="4472C4" w:themeColor="accent1"/>
                <w:sz w:val="24"/>
                <w:szCs w:val="24"/>
              </w:rPr>
              <w:t>1</w:t>
            </w:r>
            <w:r w:rsidR="00712CEC">
              <w:rPr>
                <w:rFonts w:cstheme="minorHAnsi"/>
                <w:b/>
                <w:bCs/>
                <w:color w:val="4472C4" w:themeColor="accent1"/>
                <w:sz w:val="24"/>
                <w:szCs w:val="24"/>
              </w:rPr>
              <w:t>7</w:t>
            </w:r>
          </w:p>
        </w:tc>
      </w:tr>
      <w:tr w:rsidR="00356E30" w:rsidRPr="00DB65FA" w14:paraId="6FC4979B" w14:textId="77777777" w:rsidTr="002E328D">
        <w:trPr>
          <w:trHeight w:val="403"/>
        </w:trPr>
        <w:tc>
          <w:tcPr>
            <w:tcW w:w="704" w:type="dxa"/>
            <w:vAlign w:val="center"/>
          </w:tcPr>
          <w:p w14:paraId="14344857" w14:textId="4635803D" w:rsidR="00356E30" w:rsidRPr="00DB65FA" w:rsidRDefault="00356E30" w:rsidP="00356E30">
            <w:pPr>
              <w:rPr>
                <w:rFonts w:cstheme="minorHAnsi"/>
                <w:b/>
                <w:bCs/>
                <w:color w:val="4472C4" w:themeColor="accent1"/>
                <w:sz w:val="24"/>
                <w:szCs w:val="24"/>
              </w:rPr>
            </w:pPr>
            <w:r>
              <w:rPr>
                <w:rFonts w:cstheme="minorHAnsi"/>
                <w:b/>
                <w:bCs/>
                <w:color w:val="4472C4" w:themeColor="accent1"/>
                <w:sz w:val="24"/>
                <w:szCs w:val="24"/>
              </w:rPr>
              <w:t>3</w:t>
            </w:r>
          </w:p>
        </w:tc>
        <w:tc>
          <w:tcPr>
            <w:tcW w:w="7088" w:type="dxa"/>
            <w:vAlign w:val="center"/>
          </w:tcPr>
          <w:p w14:paraId="34C7DCB1" w14:textId="1BFBFBB7" w:rsidR="00356E30" w:rsidRPr="00DB65FA" w:rsidRDefault="00356E30" w:rsidP="00356E30">
            <w:pPr>
              <w:rPr>
                <w:rFonts w:cstheme="minorHAnsi"/>
                <w:sz w:val="24"/>
                <w:szCs w:val="24"/>
              </w:rPr>
            </w:pPr>
            <w:r w:rsidRPr="00DB65FA">
              <w:rPr>
                <w:rFonts w:cstheme="minorHAnsi"/>
                <w:sz w:val="24"/>
                <w:szCs w:val="24"/>
              </w:rPr>
              <w:t>Exemptions</w:t>
            </w:r>
          </w:p>
        </w:tc>
        <w:tc>
          <w:tcPr>
            <w:tcW w:w="1224" w:type="dxa"/>
            <w:vAlign w:val="center"/>
          </w:tcPr>
          <w:p w14:paraId="726A36C8" w14:textId="1AF01A57" w:rsidR="00356E30" w:rsidRPr="00DB65FA" w:rsidRDefault="00252E9F" w:rsidP="00356E30">
            <w:pPr>
              <w:rPr>
                <w:rFonts w:cstheme="minorHAnsi"/>
                <w:b/>
                <w:bCs/>
                <w:color w:val="4472C4" w:themeColor="accent1"/>
                <w:sz w:val="24"/>
                <w:szCs w:val="24"/>
              </w:rPr>
            </w:pPr>
            <w:r>
              <w:rPr>
                <w:rFonts w:cstheme="minorHAnsi"/>
                <w:b/>
                <w:bCs/>
                <w:color w:val="4472C4" w:themeColor="accent1"/>
                <w:sz w:val="24"/>
                <w:szCs w:val="24"/>
              </w:rPr>
              <w:t>2</w:t>
            </w:r>
            <w:r w:rsidR="00712CEC">
              <w:rPr>
                <w:rFonts w:cstheme="minorHAnsi"/>
                <w:b/>
                <w:bCs/>
                <w:color w:val="4472C4" w:themeColor="accent1"/>
                <w:sz w:val="24"/>
                <w:szCs w:val="24"/>
              </w:rPr>
              <w:t>0</w:t>
            </w:r>
          </w:p>
        </w:tc>
      </w:tr>
      <w:tr w:rsidR="00356E30" w:rsidRPr="00DB65FA" w14:paraId="46A80FAA" w14:textId="77777777" w:rsidTr="002E328D">
        <w:trPr>
          <w:trHeight w:val="423"/>
        </w:trPr>
        <w:tc>
          <w:tcPr>
            <w:tcW w:w="704" w:type="dxa"/>
            <w:vAlign w:val="center"/>
          </w:tcPr>
          <w:p w14:paraId="3D7D3E8C" w14:textId="74543D41" w:rsidR="00356E30" w:rsidRPr="00DB65FA" w:rsidRDefault="00712CEC" w:rsidP="00356E30">
            <w:pPr>
              <w:rPr>
                <w:rFonts w:cstheme="minorHAnsi"/>
                <w:b/>
                <w:bCs/>
                <w:color w:val="4472C4" w:themeColor="accent1"/>
                <w:sz w:val="24"/>
                <w:szCs w:val="24"/>
              </w:rPr>
            </w:pPr>
            <w:r>
              <w:rPr>
                <w:rFonts w:cstheme="minorHAnsi"/>
                <w:b/>
                <w:bCs/>
                <w:color w:val="4472C4" w:themeColor="accent1"/>
                <w:sz w:val="24"/>
                <w:szCs w:val="24"/>
              </w:rPr>
              <w:t>4</w:t>
            </w:r>
          </w:p>
        </w:tc>
        <w:tc>
          <w:tcPr>
            <w:tcW w:w="7088" w:type="dxa"/>
            <w:vAlign w:val="center"/>
          </w:tcPr>
          <w:p w14:paraId="08D5571B" w14:textId="0E08C125" w:rsidR="00356E30" w:rsidRPr="00DB65FA" w:rsidRDefault="00356E30" w:rsidP="00356E30">
            <w:pPr>
              <w:rPr>
                <w:rFonts w:cstheme="minorHAnsi"/>
                <w:sz w:val="24"/>
                <w:szCs w:val="24"/>
              </w:rPr>
            </w:pPr>
            <w:r w:rsidRPr="00DB65FA">
              <w:rPr>
                <w:rFonts w:cstheme="minorHAnsi"/>
                <w:sz w:val="24"/>
                <w:szCs w:val="24"/>
              </w:rPr>
              <w:t>Public Interest Test</w:t>
            </w:r>
          </w:p>
        </w:tc>
        <w:tc>
          <w:tcPr>
            <w:tcW w:w="1224" w:type="dxa"/>
            <w:vAlign w:val="center"/>
          </w:tcPr>
          <w:p w14:paraId="7B7B5CE7" w14:textId="1772B02E" w:rsidR="00356E30" w:rsidRPr="00DB65FA" w:rsidRDefault="00252E9F" w:rsidP="00356E30">
            <w:pPr>
              <w:rPr>
                <w:rFonts w:cstheme="minorHAnsi"/>
                <w:b/>
                <w:bCs/>
                <w:color w:val="4472C4" w:themeColor="accent1"/>
                <w:sz w:val="24"/>
                <w:szCs w:val="24"/>
              </w:rPr>
            </w:pPr>
            <w:r>
              <w:rPr>
                <w:rFonts w:cstheme="minorHAnsi"/>
                <w:b/>
                <w:bCs/>
                <w:color w:val="4472C4" w:themeColor="accent1"/>
                <w:sz w:val="24"/>
                <w:szCs w:val="24"/>
              </w:rPr>
              <w:t>2</w:t>
            </w:r>
            <w:r w:rsidR="00712CEC">
              <w:rPr>
                <w:rFonts w:cstheme="minorHAnsi"/>
                <w:b/>
                <w:bCs/>
                <w:color w:val="4472C4" w:themeColor="accent1"/>
                <w:sz w:val="24"/>
                <w:szCs w:val="24"/>
              </w:rPr>
              <w:t>5</w:t>
            </w:r>
          </w:p>
        </w:tc>
      </w:tr>
      <w:tr w:rsidR="00356E30" w:rsidRPr="00DB65FA" w14:paraId="14C19C85" w14:textId="77777777" w:rsidTr="002E328D">
        <w:trPr>
          <w:trHeight w:val="414"/>
        </w:trPr>
        <w:tc>
          <w:tcPr>
            <w:tcW w:w="704" w:type="dxa"/>
            <w:vAlign w:val="center"/>
          </w:tcPr>
          <w:p w14:paraId="386DCF70" w14:textId="5EBED462" w:rsidR="00356E30" w:rsidRPr="00DB65FA" w:rsidRDefault="00356E30" w:rsidP="00356E30">
            <w:pPr>
              <w:rPr>
                <w:rFonts w:cstheme="minorHAnsi"/>
                <w:b/>
                <w:bCs/>
                <w:color w:val="4472C4" w:themeColor="accent1"/>
                <w:sz w:val="24"/>
                <w:szCs w:val="24"/>
              </w:rPr>
            </w:pPr>
            <w:r>
              <w:rPr>
                <w:rFonts w:cstheme="minorHAnsi"/>
                <w:b/>
                <w:bCs/>
                <w:color w:val="4472C4" w:themeColor="accent1"/>
                <w:sz w:val="24"/>
                <w:szCs w:val="24"/>
              </w:rPr>
              <w:t>5</w:t>
            </w:r>
          </w:p>
        </w:tc>
        <w:tc>
          <w:tcPr>
            <w:tcW w:w="7088" w:type="dxa"/>
            <w:vAlign w:val="center"/>
          </w:tcPr>
          <w:p w14:paraId="67BBDDFE" w14:textId="69C6BAD9" w:rsidR="00356E30" w:rsidRPr="00DB65FA" w:rsidRDefault="00356E30" w:rsidP="00356E30">
            <w:pPr>
              <w:rPr>
                <w:rFonts w:cstheme="minorHAnsi"/>
                <w:sz w:val="24"/>
                <w:szCs w:val="24"/>
              </w:rPr>
            </w:pPr>
            <w:r w:rsidRPr="00DB65FA">
              <w:rPr>
                <w:rFonts w:cstheme="minorHAnsi"/>
                <w:sz w:val="24"/>
                <w:szCs w:val="24"/>
                <w:shd w:val="clear" w:color="auto" w:fill="FFFFFF"/>
              </w:rPr>
              <w:t xml:space="preserve">Explaining Exemptions and Refusal Notices </w:t>
            </w:r>
          </w:p>
        </w:tc>
        <w:tc>
          <w:tcPr>
            <w:tcW w:w="1224" w:type="dxa"/>
            <w:vAlign w:val="center"/>
          </w:tcPr>
          <w:p w14:paraId="2D403F1A" w14:textId="0D94C28D" w:rsidR="00356E30" w:rsidRPr="00DB65FA" w:rsidRDefault="00712CEC" w:rsidP="00356E30">
            <w:pPr>
              <w:rPr>
                <w:rFonts w:cstheme="minorHAnsi"/>
                <w:b/>
                <w:bCs/>
                <w:color w:val="4472C4" w:themeColor="accent1"/>
                <w:sz w:val="24"/>
                <w:szCs w:val="24"/>
              </w:rPr>
            </w:pPr>
            <w:r>
              <w:rPr>
                <w:rFonts w:cstheme="minorHAnsi"/>
                <w:b/>
                <w:bCs/>
                <w:color w:val="4472C4" w:themeColor="accent1"/>
                <w:sz w:val="24"/>
                <w:szCs w:val="24"/>
              </w:rPr>
              <w:t>26</w:t>
            </w:r>
          </w:p>
        </w:tc>
      </w:tr>
      <w:tr w:rsidR="00356E30" w:rsidRPr="00DB65FA" w14:paraId="41F463F5" w14:textId="77777777" w:rsidTr="002E328D">
        <w:trPr>
          <w:trHeight w:val="420"/>
        </w:trPr>
        <w:tc>
          <w:tcPr>
            <w:tcW w:w="704" w:type="dxa"/>
            <w:vAlign w:val="center"/>
          </w:tcPr>
          <w:p w14:paraId="629E4626" w14:textId="59E6917C" w:rsidR="00356E30" w:rsidRPr="00DB65FA" w:rsidRDefault="00356E30" w:rsidP="00356E30">
            <w:pPr>
              <w:rPr>
                <w:rFonts w:cstheme="minorHAnsi"/>
                <w:b/>
                <w:bCs/>
                <w:color w:val="4472C4" w:themeColor="accent1"/>
                <w:sz w:val="24"/>
                <w:szCs w:val="24"/>
              </w:rPr>
            </w:pPr>
            <w:r>
              <w:rPr>
                <w:rFonts w:cstheme="minorHAnsi"/>
                <w:b/>
                <w:bCs/>
                <w:color w:val="4472C4" w:themeColor="accent1"/>
                <w:sz w:val="24"/>
                <w:szCs w:val="24"/>
              </w:rPr>
              <w:t>6</w:t>
            </w:r>
          </w:p>
        </w:tc>
        <w:tc>
          <w:tcPr>
            <w:tcW w:w="7088" w:type="dxa"/>
            <w:vAlign w:val="center"/>
          </w:tcPr>
          <w:p w14:paraId="6CF6039B" w14:textId="2F6FEAED" w:rsidR="00356E30" w:rsidRPr="00DB65FA" w:rsidRDefault="00356E30" w:rsidP="00356E30">
            <w:pPr>
              <w:rPr>
                <w:rFonts w:cstheme="minorHAnsi"/>
                <w:sz w:val="24"/>
                <w:szCs w:val="24"/>
              </w:rPr>
            </w:pPr>
            <w:r w:rsidRPr="00DB65FA">
              <w:rPr>
                <w:rFonts w:cstheme="minorHAnsi"/>
                <w:sz w:val="24"/>
                <w:szCs w:val="24"/>
              </w:rPr>
              <w:t>Complaints</w:t>
            </w:r>
          </w:p>
        </w:tc>
        <w:tc>
          <w:tcPr>
            <w:tcW w:w="1224" w:type="dxa"/>
            <w:vAlign w:val="center"/>
          </w:tcPr>
          <w:p w14:paraId="34F54F6A" w14:textId="7F3321F6" w:rsidR="00356E30" w:rsidRPr="00DB65FA" w:rsidRDefault="00712CEC" w:rsidP="00356E30">
            <w:pPr>
              <w:rPr>
                <w:rFonts w:cstheme="minorHAnsi"/>
                <w:b/>
                <w:bCs/>
                <w:color w:val="4472C4" w:themeColor="accent1"/>
                <w:sz w:val="24"/>
                <w:szCs w:val="24"/>
              </w:rPr>
            </w:pPr>
            <w:r>
              <w:rPr>
                <w:rFonts w:cstheme="minorHAnsi"/>
                <w:b/>
                <w:bCs/>
                <w:color w:val="4472C4" w:themeColor="accent1"/>
                <w:sz w:val="24"/>
                <w:szCs w:val="24"/>
              </w:rPr>
              <w:t>27</w:t>
            </w:r>
          </w:p>
        </w:tc>
      </w:tr>
      <w:tr w:rsidR="00356E30" w:rsidRPr="00DB65FA" w14:paraId="51D02545" w14:textId="77777777" w:rsidTr="00356E30">
        <w:trPr>
          <w:trHeight w:val="562"/>
        </w:trPr>
        <w:tc>
          <w:tcPr>
            <w:tcW w:w="9016" w:type="dxa"/>
            <w:gridSpan w:val="3"/>
            <w:shd w:val="clear" w:color="auto" w:fill="BFBFBF" w:themeFill="background1" w:themeFillShade="BF"/>
            <w:vAlign w:val="center"/>
          </w:tcPr>
          <w:p w14:paraId="13FC5185" w14:textId="4DA9E91C" w:rsidR="00356E30" w:rsidRPr="00DB65FA" w:rsidRDefault="00356E30" w:rsidP="00356E30">
            <w:pPr>
              <w:rPr>
                <w:rFonts w:cstheme="minorHAnsi"/>
                <w:b/>
                <w:bCs/>
                <w:color w:val="4472C4" w:themeColor="accent1"/>
                <w:sz w:val="24"/>
                <w:szCs w:val="24"/>
              </w:rPr>
            </w:pPr>
            <w:r>
              <w:rPr>
                <w:rFonts w:cstheme="minorHAnsi"/>
                <w:b/>
                <w:bCs/>
                <w:color w:val="4472C4" w:themeColor="accent1"/>
                <w:sz w:val="24"/>
                <w:szCs w:val="24"/>
              </w:rPr>
              <w:t xml:space="preserve">Part </w:t>
            </w:r>
            <w:r w:rsidR="00142937">
              <w:rPr>
                <w:rFonts w:cstheme="minorHAnsi"/>
                <w:b/>
                <w:bCs/>
                <w:color w:val="4472C4" w:themeColor="accent1"/>
                <w:sz w:val="24"/>
                <w:szCs w:val="24"/>
              </w:rPr>
              <w:t>Two</w:t>
            </w:r>
            <w:r>
              <w:rPr>
                <w:rFonts w:cstheme="minorHAnsi"/>
                <w:b/>
                <w:bCs/>
                <w:color w:val="4472C4" w:themeColor="accent1"/>
                <w:sz w:val="24"/>
                <w:szCs w:val="24"/>
              </w:rPr>
              <w:t xml:space="preserve"> - Appendices</w:t>
            </w:r>
          </w:p>
        </w:tc>
      </w:tr>
      <w:tr w:rsidR="00356E30" w:rsidRPr="00DB65FA" w14:paraId="34CFA571" w14:textId="77777777" w:rsidTr="002E328D">
        <w:trPr>
          <w:trHeight w:val="407"/>
        </w:trPr>
        <w:tc>
          <w:tcPr>
            <w:tcW w:w="704" w:type="dxa"/>
            <w:vAlign w:val="center"/>
          </w:tcPr>
          <w:p w14:paraId="56A722DF" w14:textId="526EEB9E" w:rsidR="00356E30" w:rsidRPr="00DB65FA" w:rsidRDefault="00712CEC" w:rsidP="00356E30">
            <w:pPr>
              <w:rPr>
                <w:rFonts w:cstheme="minorHAnsi"/>
                <w:b/>
                <w:bCs/>
                <w:color w:val="4472C4" w:themeColor="accent1"/>
                <w:sz w:val="24"/>
                <w:szCs w:val="24"/>
              </w:rPr>
            </w:pPr>
            <w:r>
              <w:rPr>
                <w:rFonts w:cstheme="minorHAnsi"/>
                <w:b/>
                <w:bCs/>
                <w:color w:val="4472C4" w:themeColor="accent1"/>
                <w:sz w:val="24"/>
                <w:szCs w:val="24"/>
              </w:rPr>
              <w:t>A</w:t>
            </w:r>
          </w:p>
        </w:tc>
        <w:tc>
          <w:tcPr>
            <w:tcW w:w="7088" w:type="dxa"/>
            <w:vAlign w:val="center"/>
          </w:tcPr>
          <w:p w14:paraId="64F19868" w14:textId="6823B324" w:rsidR="00356E30" w:rsidRPr="00DB65FA" w:rsidRDefault="00356E30" w:rsidP="00356E30">
            <w:pPr>
              <w:rPr>
                <w:rFonts w:cstheme="minorHAnsi"/>
                <w:sz w:val="24"/>
                <w:szCs w:val="24"/>
              </w:rPr>
            </w:pPr>
            <w:r w:rsidRPr="00DB65FA">
              <w:rPr>
                <w:rFonts w:cstheme="minorHAnsi"/>
                <w:sz w:val="24"/>
                <w:szCs w:val="24"/>
              </w:rPr>
              <w:t>Additional Exemptions</w:t>
            </w:r>
          </w:p>
        </w:tc>
        <w:tc>
          <w:tcPr>
            <w:tcW w:w="1224" w:type="dxa"/>
            <w:vAlign w:val="center"/>
          </w:tcPr>
          <w:p w14:paraId="2370ADFE" w14:textId="00D67F24" w:rsidR="00356E30" w:rsidRPr="00DB65FA" w:rsidRDefault="00712CEC" w:rsidP="00356E30">
            <w:pPr>
              <w:rPr>
                <w:rFonts w:cstheme="minorHAnsi"/>
                <w:b/>
                <w:bCs/>
                <w:color w:val="4472C4" w:themeColor="accent1"/>
                <w:sz w:val="24"/>
                <w:szCs w:val="24"/>
              </w:rPr>
            </w:pPr>
            <w:r>
              <w:rPr>
                <w:rFonts w:cstheme="minorHAnsi"/>
                <w:b/>
                <w:bCs/>
                <w:color w:val="4472C4" w:themeColor="accent1"/>
                <w:sz w:val="24"/>
                <w:szCs w:val="24"/>
              </w:rPr>
              <w:t>29</w:t>
            </w:r>
          </w:p>
        </w:tc>
      </w:tr>
    </w:tbl>
    <w:p w14:paraId="133B17F6" w14:textId="1C2480B2" w:rsidR="002E328D" w:rsidRDefault="002E328D"/>
    <w:p w14:paraId="3F69F08D" w14:textId="77777777" w:rsidR="002E328D" w:rsidRDefault="002E328D">
      <w:r>
        <w:br w:type="page"/>
      </w:r>
    </w:p>
    <w:p w14:paraId="3C868E89" w14:textId="73FCB899" w:rsidR="00142937" w:rsidRPr="001B5005" w:rsidRDefault="00AA4EAC" w:rsidP="00273668">
      <w:pPr>
        <w:pStyle w:val="Title"/>
        <w:rPr>
          <w:color w:val="4472C4" w:themeColor="accent1"/>
          <w:szCs w:val="28"/>
        </w:rPr>
      </w:pPr>
      <w:r w:rsidRPr="001B5005">
        <w:rPr>
          <w:color w:val="4472C4" w:themeColor="accent1"/>
          <w:szCs w:val="28"/>
        </w:rPr>
        <w:lastRenderedPageBreak/>
        <w:t>P</w:t>
      </w:r>
      <w:r w:rsidR="00285D51">
        <w:rPr>
          <w:color w:val="4472C4" w:themeColor="accent1"/>
          <w:szCs w:val="28"/>
        </w:rPr>
        <w:t>ART ONE - P</w:t>
      </w:r>
      <w:r w:rsidR="001B5005" w:rsidRPr="001B5005">
        <w:rPr>
          <w:color w:val="4472C4" w:themeColor="accent1"/>
          <w:szCs w:val="28"/>
        </w:rPr>
        <w:t>OLICY</w:t>
      </w:r>
    </w:p>
    <w:p w14:paraId="373F95FD" w14:textId="77777777" w:rsidR="00356E30" w:rsidRPr="00DB65FA" w:rsidRDefault="00356E30" w:rsidP="00273668">
      <w:pPr>
        <w:pStyle w:val="Heading1"/>
      </w:pPr>
      <w:r w:rsidRPr="00DB65FA">
        <w:t>RELEVANT TO</w:t>
      </w:r>
    </w:p>
    <w:p w14:paraId="1D69DA7D" w14:textId="0BF33126" w:rsidR="00356E30" w:rsidRPr="00F0754D" w:rsidRDefault="00356E30" w:rsidP="00544339">
      <w:pPr>
        <w:pStyle w:val="Heading2"/>
        <w:rPr>
          <w:sz w:val="24"/>
          <w:szCs w:val="24"/>
        </w:rPr>
      </w:pPr>
      <w:r w:rsidRPr="00F0754D">
        <w:rPr>
          <w:sz w:val="24"/>
          <w:szCs w:val="24"/>
        </w:rPr>
        <w:t xml:space="preserve">This policy is relevant to all employees of </w:t>
      </w:r>
      <w:r w:rsidR="00D1548E">
        <w:rPr>
          <w:sz w:val="24"/>
          <w:szCs w:val="24"/>
        </w:rPr>
        <w:t xml:space="preserve">Walford Mill Medical Centre, </w:t>
      </w:r>
      <w:r w:rsidRPr="00F0754D">
        <w:rPr>
          <w:sz w:val="24"/>
          <w:szCs w:val="24"/>
        </w:rPr>
        <w:t>including staff on honorary contracts, volunteers and third-party contractors who process information.</w:t>
      </w:r>
    </w:p>
    <w:p w14:paraId="00EF9D25" w14:textId="77777777" w:rsidR="00356E30" w:rsidRPr="00273668" w:rsidRDefault="00356E30" w:rsidP="00273668">
      <w:pPr>
        <w:pStyle w:val="Heading1"/>
      </w:pPr>
      <w:r w:rsidRPr="00273668">
        <w:t>INTRODUCTION</w:t>
      </w:r>
    </w:p>
    <w:p w14:paraId="036C3C9B" w14:textId="3624E799" w:rsidR="00356E30" w:rsidRPr="00F0754D" w:rsidRDefault="00356E30" w:rsidP="00544339">
      <w:pPr>
        <w:pStyle w:val="Heading2"/>
        <w:rPr>
          <w:sz w:val="24"/>
          <w:szCs w:val="24"/>
        </w:rPr>
      </w:pPr>
      <w:r w:rsidRPr="00F0754D">
        <w:rPr>
          <w:sz w:val="24"/>
          <w:szCs w:val="24"/>
        </w:rPr>
        <w:t xml:space="preserve">This Policy is required </w:t>
      </w:r>
      <w:proofErr w:type="gramStart"/>
      <w:r w:rsidRPr="00F0754D">
        <w:rPr>
          <w:sz w:val="24"/>
          <w:szCs w:val="24"/>
        </w:rPr>
        <w:t>in order to</w:t>
      </w:r>
      <w:proofErr w:type="gramEnd"/>
      <w:r w:rsidRPr="00F0754D">
        <w:rPr>
          <w:sz w:val="24"/>
          <w:szCs w:val="24"/>
        </w:rPr>
        <w:t xml:space="preserve"> inform on the legal obligations and exemptions which apply to this Practice under the Freedom of Information Act 2000</w:t>
      </w:r>
      <w:r w:rsidR="007A4E91" w:rsidRPr="00F0754D">
        <w:rPr>
          <w:sz w:val="24"/>
          <w:szCs w:val="24"/>
        </w:rPr>
        <w:t xml:space="preserve">.  It </w:t>
      </w:r>
      <w:r w:rsidRPr="00F0754D">
        <w:rPr>
          <w:sz w:val="24"/>
          <w:szCs w:val="24"/>
        </w:rPr>
        <w:t xml:space="preserve">provides staff with guidance on processing Freedom of Information (FOI) requests in accordance with the Freedom of Information Act (FOIA) 2000, Data Protection Act (DPA) 2018, UK General Data Protection Regulations (GDPR), Confidentiality NHS Code of Practice, Environmental Information Regulations (EIR) 2004. </w:t>
      </w:r>
    </w:p>
    <w:p w14:paraId="6A5DC792" w14:textId="29003608" w:rsidR="00356E30" w:rsidRPr="00F0754D" w:rsidRDefault="00356E30" w:rsidP="00544339">
      <w:pPr>
        <w:pStyle w:val="Heading2"/>
        <w:rPr>
          <w:sz w:val="24"/>
          <w:szCs w:val="24"/>
        </w:rPr>
      </w:pPr>
      <w:r w:rsidRPr="00F0754D">
        <w:rPr>
          <w:sz w:val="24"/>
          <w:szCs w:val="24"/>
        </w:rPr>
        <w:t xml:space="preserve">The Freedom of Information Act (FOIA) 2000 also requires all public authorities to adopt and maintain a publication scheme. </w:t>
      </w:r>
      <w:r w:rsidR="007A4E91" w:rsidRPr="00F0754D">
        <w:rPr>
          <w:sz w:val="24"/>
          <w:szCs w:val="24"/>
        </w:rPr>
        <w:t xml:space="preserve"> </w:t>
      </w:r>
      <w:r w:rsidRPr="00F0754D">
        <w:rPr>
          <w:sz w:val="24"/>
          <w:szCs w:val="24"/>
        </w:rPr>
        <w:t>The Information Commissioner</w:t>
      </w:r>
      <w:r w:rsidR="007A4E91" w:rsidRPr="00F0754D">
        <w:rPr>
          <w:sz w:val="24"/>
          <w:szCs w:val="24"/>
        </w:rPr>
        <w:t>’</w:t>
      </w:r>
      <w:r w:rsidRPr="00F0754D">
        <w:rPr>
          <w:sz w:val="24"/>
          <w:szCs w:val="24"/>
        </w:rPr>
        <w:t xml:space="preserve">s Office introduced the model publication scheme (Appendix </w:t>
      </w:r>
      <w:r w:rsidR="00EE3916" w:rsidRPr="00F0754D">
        <w:rPr>
          <w:sz w:val="24"/>
          <w:szCs w:val="24"/>
        </w:rPr>
        <w:t>C</w:t>
      </w:r>
      <w:r w:rsidRPr="00F0754D">
        <w:rPr>
          <w:sz w:val="24"/>
          <w:szCs w:val="24"/>
        </w:rPr>
        <w:t xml:space="preserve">) so that public authorities could produce and publish the method by which the specific information will be available, </w:t>
      </w:r>
      <w:r w:rsidR="007A4E91" w:rsidRPr="00F0754D">
        <w:rPr>
          <w:sz w:val="24"/>
          <w:szCs w:val="24"/>
        </w:rPr>
        <w:t>to enable it to</w:t>
      </w:r>
      <w:r w:rsidRPr="00F0754D">
        <w:rPr>
          <w:sz w:val="24"/>
          <w:szCs w:val="24"/>
        </w:rPr>
        <w:t xml:space="preserve"> be easily identified and accessed by members of the public.</w:t>
      </w:r>
    </w:p>
    <w:p w14:paraId="2ABE1965" w14:textId="77777777" w:rsidR="00356E30" w:rsidRPr="00DB65FA" w:rsidRDefault="00356E30" w:rsidP="00273668">
      <w:pPr>
        <w:pStyle w:val="Heading1"/>
      </w:pPr>
      <w:r w:rsidRPr="00DB65FA">
        <w:t>Scope</w:t>
      </w:r>
    </w:p>
    <w:p w14:paraId="59E0FAC0" w14:textId="77777777" w:rsidR="00356E30" w:rsidRPr="00F0754D" w:rsidRDefault="00356E30" w:rsidP="00544339">
      <w:pPr>
        <w:pStyle w:val="Heading2"/>
        <w:rPr>
          <w:sz w:val="24"/>
          <w:szCs w:val="24"/>
        </w:rPr>
      </w:pPr>
      <w:r w:rsidRPr="00F0754D">
        <w:rPr>
          <w:sz w:val="24"/>
          <w:szCs w:val="24"/>
        </w:rPr>
        <w:t>This Policy aims to inform staff of the Practice’s obligations and responsibilities under the FOIA.</w:t>
      </w:r>
    </w:p>
    <w:p w14:paraId="27008765" w14:textId="77777777" w:rsidR="00356E30" w:rsidRPr="00DB65FA" w:rsidRDefault="00356E30" w:rsidP="00273668">
      <w:pPr>
        <w:pStyle w:val="Heading1"/>
      </w:pPr>
      <w:r w:rsidRPr="00DB65FA">
        <w:t>Purpose</w:t>
      </w:r>
    </w:p>
    <w:p w14:paraId="5A56F9E4" w14:textId="77777777" w:rsidR="00356E30" w:rsidRPr="00F0754D" w:rsidRDefault="00356E30" w:rsidP="00544339">
      <w:pPr>
        <w:pStyle w:val="Heading2"/>
        <w:rPr>
          <w:sz w:val="24"/>
          <w:szCs w:val="24"/>
        </w:rPr>
      </w:pPr>
      <w:r w:rsidRPr="00F0754D">
        <w:rPr>
          <w:sz w:val="24"/>
          <w:szCs w:val="24"/>
        </w:rPr>
        <w:t>The purpose of this policy is to:</w:t>
      </w:r>
    </w:p>
    <w:p w14:paraId="55BD959D" w14:textId="69042DCE" w:rsidR="00356E30" w:rsidRPr="00F0754D" w:rsidRDefault="007A4E91" w:rsidP="005422D2">
      <w:pPr>
        <w:pStyle w:val="ListBullet3"/>
        <w:rPr>
          <w:sz w:val="24"/>
          <w:szCs w:val="24"/>
        </w:rPr>
      </w:pPr>
      <w:r w:rsidRPr="00F0754D">
        <w:rPr>
          <w:sz w:val="24"/>
          <w:szCs w:val="24"/>
        </w:rPr>
        <w:t>p</w:t>
      </w:r>
      <w:r w:rsidR="00356E30" w:rsidRPr="00F0754D">
        <w:rPr>
          <w:sz w:val="24"/>
          <w:szCs w:val="24"/>
        </w:rPr>
        <w:t xml:space="preserve">romote best practice in response and processing of FOI </w:t>
      </w:r>
      <w:proofErr w:type="gramStart"/>
      <w:r w:rsidR="00356E30" w:rsidRPr="00F0754D">
        <w:rPr>
          <w:sz w:val="24"/>
          <w:szCs w:val="24"/>
        </w:rPr>
        <w:t>requests</w:t>
      </w:r>
      <w:r w:rsidRPr="00F0754D">
        <w:rPr>
          <w:sz w:val="24"/>
          <w:szCs w:val="24"/>
        </w:rPr>
        <w:t>;</w:t>
      </w:r>
      <w:proofErr w:type="gramEnd"/>
    </w:p>
    <w:p w14:paraId="6521968D" w14:textId="07409784" w:rsidR="00356E30" w:rsidRPr="00F0754D" w:rsidRDefault="007A4E91" w:rsidP="005422D2">
      <w:pPr>
        <w:pStyle w:val="ListBullet3"/>
        <w:rPr>
          <w:sz w:val="24"/>
          <w:szCs w:val="24"/>
        </w:rPr>
      </w:pPr>
      <w:r w:rsidRPr="00F0754D">
        <w:rPr>
          <w:sz w:val="24"/>
          <w:szCs w:val="24"/>
        </w:rPr>
        <w:t>e</w:t>
      </w:r>
      <w:r w:rsidR="00356E30" w:rsidRPr="00F0754D">
        <w:rPr>
          <w:sz w:val="24"/>
          <w:szCs w:val="24"/>
        </w:rPr>
        <w:t xml:space="preserve">nsure that all FOI requests are processed in a timely and appropriate </w:t>
      </w:r>
      <w:proofErr w:type="gramStart"/>
      <w:r w:rsidR="00356E30" w:rsidRPr="00F0754D">
        <w:rPr>
          <w:sz w:val="24"/>
          <w:szCs w:val="24"/>
        </w:rPr>
        <w:t>manner</w:t>
      </w:r>
      <w:r w:rsidRPr="00F0754D">
        <w:rPr>
          <w:sz w:val="24"/>
          <w:szCs w:val="24"/>
        </w:rPr>
        <w:t>;</w:t>
      </w:r>
      <w:proofErr w:type="gramEnd"/>
    </w:p>
    <w:p w14:paraId="54999C5A" w14:textId="160CF0AE" w:rsidR="00356E30" w:rsidRPr="00F0754D" w:rsidRDefault="007A4E91" w:rsidP="005422D2">
      <w:pPr>
        <w:pStyle w:val="ListBullet3"/>
        <w:rPr>
          <w:sz w:val="24"/>
          <w:szCs w:val="24"/>
        </w:rPr>
      </w:pPr>
      <w:r w:rsidRPr="00F0754D">
        <w:rPr>
          <w:sz w:val="24"/>
          <w:szCs w:val="24"/>
        </w:rPr>
        <w:t>e</w:t>
      </w:r>
      <w:r w:rsidR="00356E30" w:rsidRPr="00F0754D">
        <w:rPr>
          <w:sz w:val="24"/>
          <w:szCs w:val="24"/>
        </w:rPr>
        <w:t xml:space="preserve">nsure that the Practice is upholding its obligations as a </w:t>
      </w:r>
      <w:r w:rsidR="0052348D">
        <w:rPr>
          <w:sz w:val="24"/>
          <w:szCs w:val="24"/>
        </w:rPr>
        <w:t>p</w:t>
      </w:r>
      <w:r w:rsidR="00356E30" w:rsidRPr="00F0754D">
        <w:rPr>
          <w:sz w:val="24"/>
          <w:szCs w:val="24"/>
        </w:rPr>
        <w:t>ublic authority under the FOIA</w:t>
      </w:r>
      <w:r w:rsidRPr="00F0754D">
        <w:rPr>
          <w:sz w:val="24"/>
          <w:szCs w:val="24"/>
        </w:rPr>
        <w:t>.</w:t>
      </w:r>
    </w:p>
    <w:p w14:paraId="24100F93" w14:textId="77777777" w:rsidR="00356E30" w:rsidRPr="00DB65FA" w:rsidRDefault="00356E30" w:rsidP="00273668">
      <w:pPr>
        <w:pStyle w:val="Heading1"/>
      </w:pPr>
      <w:r w:rsidRPr="00DB65FA">
        <w:t>Model publication scheme</w:t>
      </w:r>
    </w:p>
    <w:p w14:paraId="17323CF1" w14:textId="6CE4BB61" w:rsidR="00356E30" w:rsidRPr="00F0754D" w:rsidRDefault="00356E30" w:rsidP="00544339">
      <w:pPr>
        <w:pStyle w:val="Heading2"/>
        <w:rPr>
          <w:sz w:val="24"/>
          <w:szCs w:val="24"/>
        </w:rPr>
      </w:pPr>
      <w:r w:rsidRPr="00F0754D">
        <w:rPr>
          <w:sz w:val="24"/>
          <w:szCs w:val="24"/>
        </w:rPr>
        <w:t xml:space="preserve">As well as responding to requests for information, the FOIA requires all public authorities to adopt and maintain a publication scheme, recognising the public interest in the transparency of the services provided for and paid for by the </w:t>
      </w:r>
      <w:proofErr w:type="gramStart"/>
      <w:r w:rsidRPr="00F0754D">
        <w:rPr>
          <w:sz w:val="24"/>
          <w:szCs w:val="24"/>
        </w:rPr>
        <w:t>general public</w:t>
      </w:r>
      <w:proofErr w:type="gramEnd"/>
      <w:r w:rsidRPr="00F0754D">
        <w:rPr>
          <w:sz w:val="24"/>
          <w:szCs w:val="24"/>
        </w:rPr>
        <w:t xml:space="preserve">. </w:t>
      </w:r>
      <w:r w:rsidR="007A4E91" w:rsidRPr="00F0754D">
        <w:rPr>
          <w:sz w:val="24"/>
          <w:szCs w:val="24"/>
        </w:rPr>
        <w:t xml:space="preserve"> </w:t>
      </w:r>
      <w:r w:rsidRPr="00F0754D">
        <w:rPr>
          <w:sz w:val="24"/>
          <w:szCs w:val="24"/>
        </w:rPr>
        <w:t xml:space="preserve">It is a commitment to make information easily available to the public. </w:t>
      </w:r>
    </w:p>
    <w:p w14:paraId="7D58A86A" w14:textId="1DF55E11" w:rsidR="00356E30" w:rsidRPr="00F0754D" w:rsidRDefault="00356E30" w:rsidP="00544339">
      <w:pPr>
        <w:pStyle w:val="Heading2"/>
        <w:rPr>
          <w:sz w:val="24"/>
          <w:szCs w:val="24"/>
        </w:rPr>
      </w:pPr>
      <w:r w:rsidRPr="00F0754D">
        <w:rPr>
          <w:sz w:val="24"/>
          <w:szCs w:val="24"/>
        </w:rPr>
        <w:t>General Practitioners (GPs) providing medical services under most contracts within the NHS in England and Wales</w:t>
      </w:r>
      <w:r w:rsidR="007A4E91" w:rsidRPr="00F0754D">
        <w:rPr>
          <w:sz w:val="24"/>
          <w:szCs w:val="24"/>
        </w:rPr>
        <w:t>,</w:t>
      </w:r>
      <w:r w:rsidRPr="00F0754D">
        <w:rPr>
          <w:sz w:val="24"/>
          <w:szCs w:val="24"/>
        </w:rPr>
        <w:t xml:space="preserve"> are public authorities in respect of information relating to those services. </w:t>
      </w:r>
    </w:p>
    <w:p w14:paraId="4D41D38F" w14:textId="69268651" w:rsidR="00356E30" w:rsidRPr="00F0754D" w:rsidRDefault="00356E30" w:rsidP="00544339">
      <w:pPr>
        <w:pStyle w:val="Heading2"/>
        <w:rPr>
          <w:sz w:val="24"/>
          <w:szCs w:val="24"/>
        </w:rPr>
      </w:pPr>
      <w:r w:rsidRPr="00F0754D">
        <w:rPr>
          <w:sz w:val="24"/>
          <w:szCs w:val="24"/>
        </w:rPr>
        <w:lastRenderedPageBreak/>
        <w:t>The Model Publication Scheme must be adopted in full and promoted alongside the guide to information.</w:t>
      </w:r>
      <w:r w:rsidR="007A4E91" w:rsidRPr="00F0754D">
        <w:rPr>
          <w:sz w:val="24"/>
          <w:szCs w:val="24"/>
        </w:rPr>
        <w:t xml:space="preserve"> </w:t>
      </w:r>
      <w:r w:rsidRPr="00F0754D">
        <w:rPr>
          <w:sz w:val="24"/>
          <w:szCs w:val="24"/>
        </w:rPr>
        <w:t xml:space="preserve"> It is a short, </w:t>
      </w:r>
      <w:proofErr w:type="gramStart"/>
      <w:r w:rsidRPr="00F0754D">
        <w:rPr>
          <w:sz w:val="24"/>
          <w:szCs w:val="24"/>
        </w:rPr>
        <w:t>high level</w:t>
      </w:r>
      <w:proofErr w:type="gramEnd"/>
      <w:r w:rsidRPr="00F0754D">
        <w:rPr>
          <w:sz w:val="24"/>
          <w:szCs w:val="24"/>
        </w:rPr>
        <w:t xml:space="preserve"> document setting out the Practice’s commitment to proactively publish information and consists of seven commitments and seven classes of information. </w:t>
      </w:r>
    </w:p>
    <w:p w14:paraId="715DE1E6" w14:textId="77777777" w:rsidR="00356E30" w:rsidRPr="00F0754D" w:rsidRDefault="00356E30" w:rsidP="00544339">
      <w:pPr>
        <w:pStyle w:val="Heading2"/>
        <w:rPr>
          <w:sz w:val="24"/>
          <w:szCs w:val="24"/>
        </w:rPr>
      </w:pPr>
      <w:r w:rsidRPr="00F0754D">
        <w:rPr>
          <w:sz w:val="24"/>
          <w:szCs w:val="24"/>
        </w:rPr>
        <w:t xml:space="preserve">A public authority is in breach of the FOIA if it has not adopted the model scheme or is not publishing information in accordance with the scheme. </w:t>
      </w:r>
    </w:p>
    <w:p w14:paraId="39B0234D" w14:textId="65E249EB" w:rsidR="00356E30" w:rsidRPr="00F0754D" w:rsidRDefault="00356E30" w:rsidP="00544339">
      <w:pPr>
        <w:pStyle w:val="Heading2"/>
        <w:rPr>
          <w:sz w:val="24"/>
          <w:szCs w:val="24"/>
        </w:rPr>
      </w:pPr>
      <w:r w:rsidRPr="00F0754D">
        <w:rPr>
          <w:sz w:val="24"/>
          <w:szCs w:val="24"/>
        </w:rPr>
        <w:t xml:space="preserve">The Model Publication Scheme sets out the information that is routinely available. </w:t>
      </w:r>
      <w:r w:rsidR="007A4E91" w:rsidRPr="00F0754D">
        <w:rPr>
          <w:sz w:val="24"/>
          <w:szCs w:val="24"/>
        </w:rPr>
        <w:t xml:space="preserve"> </w:t>
      </w:r>
      <w:r w:rsidRPr="00F0754D">
        <w:rPr>
          <w:sz w:val="24"/>
          <w:szCs w:val="24"/>
        </w:rPr>
        <w:t>Information not listed within the scheme can still be requested by anyone and should be made available unless it can be legitimately withheld or refused.</w:t>
      </w:r>
    </w:p>
    <w:p w14:paraId="3547066F" w14:textId="1C36B55F" w:rsidR="00356E30" w:rsidRPr="00F0754D" w:rsidRDefault="00356E30" w:rsidP="00544339">
      <w:pPr>
        <w:pStyle w:val="Heading2"/>
        <w:rPr>
          <w:sz w:val="24"/>
          <w:szCs w:val="24"/>
        </w:rPr>
      </w:pPr>
      <w:r w:rsidRPr="00F0754D">
        <w:rPr>
          <w:sz w:val="24"/>
          <w:szCs w:val="24"/>
        </w:rPr>
        <w:t xml:space="preserve">Information available through the Publication Scheme should be readily available at a low cost or no cost to the public. </w:t>
      </w:r>
      <w:r w:rsidR="007A4E91" w:rsidRPr="00F0754D">
        <w:rPr>
          <w:sz w:val="24"/>
          <w:szCs w:val="24"/>
        </w:rPr>
        <w:t xml:space="preserve"> </w:t>
      </w:r>
      <w:r w:rsidRPr="00F0754D">
        <w:rPr>
          <w:sz w:val="24"/>
          <w:szCs w:val="24"/>
        </w:rPr>
        <w:t xml:space="preserve">If a charge is made for information, it should be justifiable, clear and kept to a minimum. </w:t>
      </w:r>
      <w:r w:rsidR="007A4E91" w:rsidRPr="00F0754D">
        <w:rPr>
          <w:sz w:val="24"/>
          <w:szCs w:val="24"/>
        </w:rPr>
        <w:t xml:space="preserve"> </w:t>
      </w:r>
      <w:r w:rsidRPr="00F0754D">
        <w:rPr>
          <w:sz w:val="24"/>
          <w:szCs w:val="24"/>
        </w:rPr>
        <w:t xml:space="preserve">Charges may be made for activities such as printing, photocopying and postage as was as information that the </w:t>
      </w:r>
      <w:r w:rsidR="00F0754D" w:rsidRPr="00F0754D">
        <w:rPr>
          <w:sz w:val="24"/>
          <w:szCs w:val="24"/>
        </w:rPr>
        <w:t>Practice</w:t>
      </w:r>
      <w:r w:rsidRPr="00F0754D">
        <w:rPr>
          <w:sz w:val="24"/>
          <w:szCs w:val="24"/>
        </w:rPr>
        <w:t xml:space="preserve"> is legally authorised to charge for. </w:t>
      </w:r>
      <w:r w:rsidR="007A4E91" w:rsidRPr="00F0754D">
        <w:rPr>
          <w:sz w:val="24"/>
          <w:szCs w:val="24"/>
        </w:rPr>
        <w:t xml:space="preserve"> </w:t>
      </w:r>
      <w:r w:rsidRPr="00F0754D">
        <w:rPr>
          <w:sz w:val="24"/>
          <w:szCs w:val="24"/>
        </w:rPr>
        <w:t xml:space="preserve">Anyone requesting information must be informed of any charge before the information is provided and </w:t>
      </w:r>
      <w:r w:rsidR="00F0754D" w:rsidRPr="00F0754D">
        <w:rPr>
          <w:sz w:val="24"/>
          <w:szCs w:val="24"/>
        </w:rPr>
        <w:t>the Practice</w:t>
      </w:r>
      <w:r w:rsidRPr="00F0754D">
        <w:rPr>
          <w:sz w:val="24"/>
          <w:szCs w:val="24"/>
        </w:rPr>
        <w:t xml:space="preserve"> may ask for payments to be made before providing the information. </w:t>
      </w:r>
    </w:p>
    <w:p w14:paraId="00CE926A" w14:textId="539FFA7D" w:rsidR="00356E30" w:rsidRPr="00F0754D" w:rsidRDefault="00356E30" w:rsidP="00544339">
      <w:pPr>
        <w:pStyle w:val="Heading2"/>
        <w:rPr>
          <w:sz w:val="24"/>
          <w:szCs w:val="24"/>
        </w:rPr>
      </w:pPr>
      <w:r w:rsidRPr="00F0754D">
        <w:rPr>
          <w:sz w:val="24"/>
          <w:szCs w:val="24"/>
        </w:rPr>
        <w:t xml:space="preserve">If the </w:t>
      </w:r>
      <w:r w:rsidR="00F0754D" w:rsidRPr="00F0754D">
        <w:rPr>
          <w:sz w:val="24"/>
          <w:szCs w:val="24"/>
        </w:rPr>
        <w:t>Practice</w:t>
      </w:r>
      <w:r w:rsidRPr="00F0754D">
        <w:rPr>
          <w:sz w:val="24"/>
          <w:szCs w:val="24"/>
        </w:rPr>
        <w:t xml:space="preserve"> charges a fee for licensing the re-use of data sets, they should state in the Publication Scheme how this is calculated and whether the charge is made under the Re-use Fees Regulations or under other legislation. </w:t>
      </w:r>
      <w:r w:rsidR="007A4E91" w:rsidRPr="00F0754D">
        <w:rPr>
          <w:sz w:val="24"/>
          <w:szCs w:val="24"/>
        </w:rPr>
        <w:t xml:space="preserve"> </w:t>
      </w:r>
      <w:r w:rsidRPr="00F0754D">
        <w:rPr>
          <w:sz w:val="24"/>
          <w:szCs w:val="24"/>
        </w:rPr>
        <w:t xml:space="preserve">The </w:t>
      </w:r>
      <w:r w:rsidR="00F0754D" w:rsidRPr="00F0754D">
        <w:rPr>
          <w:sz w:val="24"/>
          <w:szCs w:val="24"/>
        </w:rPr>
        <w:t>Practice</w:t>
      </w:r>
      <w:r w:rsidRPr="00F0754D">
        <w:rPr>
          <w:sz w:val="24"/>
          <w:szCs w:val="24"/>
        </w:rPr>
        <w:t xml:space="preserve"> cannot charge a re-use fee if they make the datasets available for re-use under the Open Government Licence. </w:t>
      </w:r>
    </w:p>
    <w:p w14:paraId="519BEB27" w14:textId="77777777" w:rsidR="00356E30" w:rsidRPr="00DB65FA" w:rsidRDefault="00356E30" w:rsidP="00273668">
      <w:pPr>
        <w:pStyle w:val="Heading1"/>
      </w:pPr>
      <w:r w:rsidRPr="00DB65FA">
        <w:t>Environmental information regulations</w:t>
      </w:r>
    </w:p>
    <w:p w14:paraId="65991AD2" w14:textId="1B367018" w:rsidR="00356E30" w:rsidRPr="00F0754D" w:rsidRDefault="00356E30" w:rsidP="00544339">
      <w:pPr>
        <w:pStyle w:val="Heading2"/>
        <w:rPr>
          <w:sz w:val="24"/>
          <w:szCs w:val="24"/>
        </w:rPr>
      </w:pPr>
      <w:r w:rsidRPr="00F0754D">
        <w:rPr>
          <w:sz w:val="24"/>
          <w:szCs w:val="24"/>
        </w:rPr>
        <w:t xml:space="preserve">Any information relating to the environment, under the definition in the Environmental Information Regulations (EIR) 2004 will apply. </w:t>
      </w:r>
      <w:r w:rsidR="001B5005" w:rsidRPr="00F0754D">
        <w:rPr>
          <w:sz w:val="24"/>
          <w:szCs w:val="24"/>
        </w:rPr>
        <w:t xml:space="preserve"> </w:t>
      </w:r>
      <w:r w:rsidRPr="00F0754D">
        <w:rPr>
          <w:sz w:val="24"/>
          <w:szCs w:val="24"/>
        </w:rPr>
        <w:t>This includes</w:t>
      </w:r>
      <w:r w:rsidR="001B5005" w:rsidRPr="00F0754D">
        <w:rPr>
          <w:sz w:val="24"/>
          <w:szCs w:val="24"/>
        </w:rPr>
        <w:t>,</w:t>
      </w:r>
      <w:r w:rsidRPr="00F0754D">
        <w:rPr>
          <w:sz w:val="24"/>
          <w:szCs w:val="24"/>
        </w:rPr>
        <w:t xml:space="preserve"> but is not limited to</w:t>
      </w:r>
      <w:r w:rsidR="001B5005" w:rsidRPr="00F0754D">
        <w:rPr>
          <w:sz w:val="24"/>
          <w:szCs w:val="24"/>
        </w:rPr>
        <w:t>,</w:t>
      </w:r>
      <w:r w:rsidRPr="00F0754D">
        <w:rPr>
          <w:sz w:val="24"/>
          <w:szCs w:val="24"/>
        </w:rPr>
        <w:t xml:space="preserve"> any information about the impact on the elements, substances released into the environment, measures (including policies and plans) that might affect the environment and the state of human health and safety. </w:t>
      </w:r>
      <w:r w:rsidR="001B5005" w:rsidRPr="00F0754D">
        <w:rPr>
          <w:sz w:val="24"/>
          <w:szCs w:val="24"/>
        </w:rPr>
        <w:t xml:space="preserve"> </w:t>
      </w:r>
      <w:r w:rsidRPr="00F0754D">
        <w:rPr>
          <w:sz w:val="24"/>
          <w:szCs w:val="24"/>
        </w:rPr>
        <w:t>This applies to information in written, visual, aural, electronic or any other material form.</w:t>
      </w:r>
    </w:p>
    <w:p w14:paraId="3DA6DA75" w14:textId="77777777" w:rsidR="00356E30" w:rsidRPr="00F0754D" w:rsidRDefault="00356E30" w:rsidP="00544339">
      <w:pPr>
        <w:pStyle w:val="Heading2"/>
        <w:rPr>
          <w:sz w:val="24"/>
          <w:szCs w:val="24"/>
        </w:rPr>
      </w:pPr>
      <w:r w:rsidRPr="00F0754D">
        <w:rPr>
          <w:sz w:val="24"/>
          <w:szCs w:val="24"/>
        </w:rPr>
        <w:t>The policy and procedure for dealing with requests under EIR is the same as those laid down for the FOIA, except for the following points:</w:t>
      </w:r>
    </w:p>
    <w:p w14:paraId="4517911F" w14:textId="5D906C79" w:rsidR="00356E30" w:rsidRPr="00F0754D" w:rsidRDefault="00356E30" w:rsidP="005422D2">
      <w:pPr>
        <w:pStyle w:val="ListBullet3"/>
        <w:rPr>
          <w:sz w:val="24"/>
          <w:szCs w:val="24"/>
        </w:rPr>
      </w:pPr>
      <w:r w:rsidRPr="00F0754D">
        <w:rPr>
          <w:sz w:val="24"/>
          <w:szCs w:val="24"/>
        </w:rPr>
        <w:t xml:space="preserve">EIR requests </w:t>
      </w:r>
      <w:r w:rsidR="001B5005" w:rsidRPr="00F0754D">
        <w:rPr>
          <w:sz w:val="24"/>
          <w:szCs w:val="24"/>
        </w:rPr>
        <w:t>do</w:t>
      </w:r>
      <w:r w:rsidRPr="00F0754D">
        <w:rPr>
          <w:sz w:val="24"/>
          <w:szCs w:val="24"/>
        </w:rPr>
        <w:t xml:space="preserve"> not have to be made in writing</w:t>
      </w:r>
      <w:r w:rsidR="001B5005" w:rsidRPr="00F0754D">
        <w:rPr>
          <w:sz w:val="24"/>
          <w:szCs w:val="24"/>
        </w:rPr>
        <w:t>,</w:t>
      </w:r>
      <w:r w:rsidRPr="00F0754D">
        <w:rPr>
          <w:sz w:val="24"/>
          <w:szCs w:val="24"/>
        </w:rPr>
        <w:t xml:space="preserve"> they can be made via the phone or in person</w:t>
      </w:r>
      <w:r w:rsidR="002467B6">
        <w:rPr>
          <w:sz w:val="24"/>
          <w:szCs w:val="24"/>
        </w:rPr>
        <w:t xml:space="preserve"> -</w:t>
      </w:r>
      <w:r w:rsidRPr="00F0754D">
        <w:rPr>
          <w:sz w:val="24"/>
          <w:szCs w:val="24"/>
        </w:rPr>
        <w:t xml:space="preserve"> </w:t>
      </w:r>
      <w:r w:rsidR="002467B6">
        <w:rPr>
          <w:sz w:val="24"/>
          <w:szCs w:val="24"/>
        </w:rPr>
        <w:t>w</w:t>
      </w:r>
      <w:r w:rsidRPr="00F0754D">
        <w:rPr>
          <w:sz w:val="24"/>
          <w:szCs w:val="24"/>
        </w:rPr>
        <w:t xml:space="preserve">hen received in such a manner, the request will be formally documented and then processed as though made under the </w:t>
      </w:r>
      <w:proofErr w:type="gramStart"/>
      <w:r w:rsidRPr="00F0754D">
        <w:rPr>
          <w:sz w:val="24"/>
          <w:szCs w:val="24"/>
        </w:rPr>
        <w:t>FOIA;</w:t>
      </w:r>
      <w:proofErr w:type="gramEnd"/>
    </w:p>
    <w:p w14:paraId="34272B34" w14:textId="16F97437" w:rsidR="00356E30" w:rsidRPr="00F0754D" w:rsidRDefault="001B5005" w:rsidP="005422D2">
      <w:pPr>
        <w:pStyle w:val="ListBullet3"/>
        <w:rPr>
          <w:sz w:val="24"/>
          <w:szCs w:val="24"/>
        </w:rPr>
      </w:pPr>
      <w:r w:rsidRPr="00F0754D">
        <w:rPr>
          <w:sz w:val="24"/>
          <w:szCs w:val="24"/>
        </w:rPr>
        <w:t>r</w:t>
      </w:r>
      <w:r w:rsidR="00356E30" w:rsidRPr="00F0754D">
        <w:rPr>
          <w:sz w:val="24"/>
          <w:szCs w:val="24"/>
        </w:rPr>
        <w:t>equests under EIR can be charged for at any time, provided the cost is reasonable.</w:t>
      </w:r>
      <w:r w:rsidRPr="00F0754D">
        <w:rPr>
          <w:sz w:val="24"/>
          <w:szCs w:val="24"/>
        </w:rPr>
        <w:t xml:space="preserve"> </w:t>
      </w:r>
      <w:r w:rsidR="00356E30" w:rsidRPr="00F0754D">
        <w:rPr>
          <w:sz w:val="24"/>
          <w:szCs w:val="24"/>
        </w:rPr>
        <w:t xml:space="preserve"> EIR requests cannot be refused on cost grounds </w:t>
      </w:r>
      <w:proofErr w:type="gramStart"/>
      <w:r w:rsidR="00356E30" w:rsidRPr="00F0754D">
        <w:rPr>
          <w:sz w:val="24"/>
          <w:szCs w:val="24"/>
        </w:rPr>
        <w:t>alone;</w:t>
      </w:r>
      <w:proofErr w:type="gramEnd"/>
    </w:p>
    <w:p w14:paraId="5DB134AB" w14:textId="5022229A" w:rsidR="00356E30" w:rsidRPr="00F0754D" w:rsidRDefault="001B5005" w:rsidP="005422D2">
      <w:pPr>
        <w:pStyle w:val="ListBullet3"/>
        <w:rPr>
          <w:sz w:val="24"/>
          <w:szCs w:val="24"/>
        </w:rPr>
      </w:pPr>
      <w:r w:rsidRPr="00F0754D">
        <w:rPr>
          <w:sz w:val="24"/>
          <w:szCs w:val="24"/>
        </w:rPr>
        <w:t>t</w:t>
      </w:r>
      <w:r w:rsidR="00356E30" w:rsidRPr="00F0754D">
        <w:rPr>
          <w:sz w:val="24"/>
          <w:szCs w:val="24"/>
        </w:rPr>
        <w:t>he time limit for the provision of a response is 20 working days</w:t>
      </w:r>
      <w:r w:rsidRPr="00F0754D">
        <w:rPr>
          <w:sz w:val="24"/>
          <w:szCs w:val="24"/>
        </w:rPr>
        <w:t>,</w:t>
      </w:r>
      <w:r w:rsidR="00356E30" w:rsidRPr="00F0754D">
        <w:rPr>
          <w:sz w:val="24"/>
          <w:szCs w:val="24"/>
        </w:rPr>
        <w:t xml:space="preserve"> however, it can be extended by 20 further days if the EIR request is complex and/or </w:t>
      </w:r>
      <w:proofErr w:type="gramStart"/>
      <w:r w:rsidR="00356E30" w:rsidRPr="00F0754D">
        <w:rPr>
          <w:sz w:val="24"/>
          <w:szCs w:val="24"/>
        </w:rPr>
        <w:t>large;</w:t>
      </w:r>
      <w:proofErr w:type="gramEnd"/>
    </w:p>
    <w:p w14:paraId="723E6899" w14:textId="4433BE54" w:rsidR="00356E30" w:rsidRPr="00F0754D" w:rsidRDefault="001B5005" w:rsidP="005422D2">
      <w:pPr>
        <w:pStyle w:val="ListBullet3"/>
        <w:rPr>
          <w:sz w:val="24"/>
          <w:szCs w:val="24"/>
        </w:rPr>
      </w:pPr>
      <w:r w:rsidRPr="00F0754D">
        <w:rPr>
          <w:sz w:val="24"/>
          <w:szCs w:val="24"/>
        </w:rPr>
        <w:lastRenderedPageBreak/>
        <w:t>t</w:t>
      </w:r>
      <w:r w:rsidR="00356E30" w:rsidRPr="00F0754D">
        <w:rPr>
          <w:sz w:val="24"/>
          <w:szCs w:val="24"/>
        </w:rPr>
        <w:t xml:space="preserve">here are some differences in the exemptions under EIR, when compared to the ‘exemptions’ in the FOIA. </w:t>
      </w:r>
      <w:r w:rsidRPr="00F0754D">
        <w:rPr>
          <w:sz w:val="24"/>
          <w:szCs w:val="24"/>
        </w:rPr>
        <w:t xml:space="preserve"> </w:t>
      </w:r>
      <w:r w:rsidR="00356E30" w:rsidRPr="00F0754D">
        <w:rPr>
          <w:sz w:val="24"/>
          <w:szCs w:val="24"/>
        </w:rPr>
        <w:t xml:space="preserve">They are not listed in this document, but available on the ICO website. </w:t>
      </w:r>
    </w:p>
    <w:p w14:paraId="5F3FA5AC" w14:textId="4C86A7BE" w:rsidR="00356E30" w:rsidRPr="00F0754D" w:rsidRDefault="00356E30" w:rsidP="00544339">
      <w:pPr>
        <w:pStyle w:val="Heading2"/>
        <w:rPr>
          <w:sz w:val="24"/>
          <w:szCs w:val="24"/>
        </w:rPr>
      </w:pPr>
      <w:r w:rsidRPr="00F0754D">
        <w:rPr>
          <w:sz w:val="24"/>
          <w:szCs w:val="24"/>
        </w:rPr>
        <w:t xml:space="preserve">As a request under EIR can be made orally, including via telephone or during a meeting, it is possible that any member of staff may be the recipient of a request. </w:t>
      </w:r>
      <w:r w:rsidR="001B5005" w:rsidRPr="00F0754D">
        <w:rPr>
          <w:sz w:val="24"/>
          <w:szCs w:val="24"/>
        </w:rPr>
        <w:t xml:space="preserve"> </w:t>
      </w:r>
      <w:r w:rsidRPr="00F0754D">
        <w:rPr>
          <w:sz w:val="24"/>
          <w:szCs w:val="24"/>
        </w:rPr>
        <w:t>If appropriate, the individual making the request should be redirect</w:t>
      </w:r>
      <w:r w:rsidR="001B5005" w:rsidRPr="00F0754D">
        <w:rPr>
          <w:sz w:val="24"/>
          <w:szCs w:val="24"/>
        </w:rPr>
        <w:t>ed</w:t>
      </w:r>
      <w:r w:rsidRPr="00F0754D">
        <w:rPr>
          <w:sz w:val="24"/>
          <w:szCs w:val="24"/>
        </w:rPr>
        <w:t xml:space="preserve"> to </w:t>
      </w:r>
      <w:r w:rsidR="00D1548E">
        <w:rPr>
          <w:sz w:val="24"/>
          <w:szCs w:val="24"/>
        </w:rPr>
        <w:t xml:space="preserve">Sarah Faulkner, Practice Business Manager &amp; SIRO </w:t>
      </w:r>
      <w:r w:rsidRPr="00F0754D">
        <w:rPr>
          <w:sz w:val="24"/>
          <w:szCs w:val="24"/>
        </w:rPr>
        <w:t xml:space="preserve">for assistance with the request. </w:t>
      </w:r>
      <w:r w:rsidR="001B5005" w:rsidRPr="00F0754D">
        <w:rPr>
          <w:sz w:val="24"/>
          <w:szCs w:val="24"/>
        </w:rPr>
        <w:t xml:space="preserve"> </w:t>
      </w:r>
      <w:r w:rsidRPr="00F0754D">
        <w:rPr>
          <w:sz w:val="24"/>
          <w:szCs w:val="24"/>
        </w:rPr>
        <w:t>This will not always be possible, so the staff member should take adequate steps to date and record the request along with the contact details of the individual and forward these to</w:t>
      </w:r>
      <w:r w:rsidR="00D1548E">
        <w:rPr>
          <w:sz w:val="24"/>
          <w:szCs w:val="24"/>
        </w:rPr>
        <w:t xml:space="preserve"> Sarah Faulkner, Practice Business Manager and SIRO. </w:t>
      </w:r>
      <w:r w:rsidRPr="00F0754D">
        <w:rPr>
          <w:sz w:val="24"/>
          <w:szCs w:val="24"/>
        </w:rPr>
        <w:t>It is important that the date is recorded</w:t>
      </w:r>
      <w:r w:rsidR="001B5005" w:rsidRPr="00F0754D">
        <w:rPr>
          <w:sz w:val="24"/>
          <w:szCs w:val="24"/>
        </w:rPr>
        <w:t>,</w:t>
      </w:r>
      <w:r w:rsidRPr="00F0754D">
        <w:rPr>
          <w:sz w:val="24"/>
          <w:szCs w:val="24"/>
        </w:rPr>
        <w:t xml:space="preserve"> as the 20 working </w:t>
      </w:r>
      <w:proofErr w:type="gramStart"/>
      <w:r w:rsidRPr="00F0754D">
        <w:rPr>
          <w:sz w:val="24"/>
          <w:szCs w:val="24"/>
        </w:rPr>
        <w:t>day</w:t>
      </w:r>
      <w:r w:rsidR="007C21EF">
        <w:rPr>
          <w:sz w:val="24"/>
          <w:szCs w:val="24"/>
        </w:rPr>
        <w:t xml:space="preserve"> </w:t>
      </w:r>
      <w:r w:rsidRPr="00F0754D">
        <w:rPr>
          <w:sz w:val="24"/>
          <w:szCs w:val="24"/>
        </w:rPr>
        <w:t>time</w:t>
      </w:r>
      <w:proofErr w:type="gramEnd"/>
      <w:r w:rsidRPr="00F0754D">
        <w:rPr>
          <w:sz w:val="24"/>
          <w:szCs w:val="24"/>
        </w:rPr>
        <w:t xml:space="preserve"> limit starts at the point the request is received. </w:t>
      </w:r>
    </w:p>
    <w:p w14:paraId="72582FA3" w14:textId="77777777" w:rsidR="00356E30" w:rsidRPr="00DB65FA" w:rsidRDefault="00356E30" w:rsidP="00273668">
      <w:pPr>
        <w:pStyle w:val="Heading1"/>
      </w:pPr>
      <w:r w:rsidRPr="00DB65FA">
        <w:t>Training</w:t>
      </w:r>
    </w:p>
    <w:p w14:paraId="3C2879AD" w14:textId="06A10DD0" w:rsidR="00356E30" w:rsidRPr="00F0754D" w:rsidRDefault="00356E30" w:rsidP="00544339">
      <w:pPr>
        <w:pStyle w:val="Heading2"/>
        <w:rPr>
          <w:sz w:val="24"/>
          <w:szCs w:val="24"/>
        </w:rPr>
      </w:pPr>
      <w:r w:rsidRPr="00F0754D">
        <w:rPr>
          <w:sz w:val="24"/>
          <w:szCs w:val="24"/>
        </w:rPr>
        <w:t>All staff will be made aware of their responsibilities under FOIA and EIR at their induction.</w:t>
      </w:r>
      <w:r w:rsidR="001B5005" w:rsidRPr="00F0754D">
        <w:rPr>
          <w:sz w:val="24"/>
          <w:szCs w:val="24"/>
        </w:rPr>
        <w:t xml:space="preserve"> </w:t>
      </w:r>
      <w:r w:rsidRPr="00F0754D">
        <w:rPr>
          <w:sz w:val="24"/>
          <w:szCs w:val="24"/>
        </w:rPr>
        <w:t xml:space="preserve"> This will be followed up with annual mandatory training. </w:t>
      </w:r>
      <w:r w:rsidR="00D8706A" w:rsidRPr="00F0754D">
        <w:rPr>
          <w:sz w:val="24"/>
          <w:szCs w:val="24"/>
        </w:rPr>
        <w:t xml:space="preserve"> </w:t>
      </w:r>
      <w:r w:rsidRPr="00F0754D">
        <w:rPr>
          <w:sz w:val="24"/>
          <w:szCs w:val="24"/>
        </w:rPr>
        <w:t xml:space="preserve">Specific roles may require additional training. </w:t>
      </w:r>
    </w:p>
    <w:p w14:paraId="77D0A641" w14:textId="39C8F602" w:rsidR="00356E30" w:rsidRPr="00F0754D" w:rsidRDefault="00356E30" w:rsidP="00544339">
      <w:pPr>
        <w:pStyle w:val="Heading2"/>
        <w:rPr>
          <w:sz w:val="24"/>
          <w:szCs w:val="24"/>
        </w:rPr>
      </w:pPr>
      <w:r w:rsidRPr="00F0754D">
        <w:rPr>
          <w:sz w:val="24"/>
          <w:szCs w:val="24"/>
        </w:rPr>
        <w:t xml:space="preserve">Successful compliance with FOIA obligations is </w:t>
      </w:r>
      <w:r w:rsidR="00544339" w:rsidRPr="00F0754D">
        <w:rPr>
          <w:sz w:val="24"/>
          <w:szCs w:val="24"/>
        </w:rPr>
        <w:t>dependent</w:t>
      </w:r>
      <w:r w:rsidRPr="00F0754D">
        <w:rPr>
          <w:sz w:val="24"/>
          <w:szCs w:val="24"/>
        </w:rPr>
        <w:t xml:space="preserve"> upon the input of staff at all levels, and their ability to recognise requests and ensure that they are received by the FOI lead.</w:t>
      </w:r>
    </w:p>
    <w:p w14:paraId="1A870599" w14:textId="7149985B" w:rsidR="00356E30" w:rsidRPr="00F0754D" w:rsidRDefault="00356E30" w:rsidP="00544339">
      <w:pPr>
        <w:pStyle w:val="Heading2"/>
        <w:rPr>
          <w:sz w:val="24"/>
          <w:szCs w:val="24"/>
        </w:rPr>
      </w:pPr>
      <w:r w:rsidRPr="00F0754D">
        <w:rPr>
          <w:sz w:val="24"/>
          <w:szCs w:val="24"/>
        </w:rPr>
        <w:t xml:space="preserve">Continuous communications and engagement will run throughout the year through team meetings, the GP DPO newsletter, and </w:t>
      </w:r>
      <w:r w:rsidR="00731CC5">
        <w:rPr>
          <w:sz w:val="24"/>
          <w:szCs w:val="24"/>
        </w:rPr>
        <w:t>b</w:t>
      </w:r>
      <w:r w:rsidRPr="00F0754D">
        <w:rPr>
          <w:sz w:val="24"/>
          <w:szCs w:val="24"/>
        </w:rPr>
        <w:t xml:space="preserve">est </w:t>
      </w:r>
      <w:r w:rsidR="00731CC5">
        <w:rPr>
          <w:sz w:val="24"/>
          <w:szCs w:val="24"/>
        </w:rPr>
        <w:t>p</w:t>
      </w:r>
      <w:r w:rsidRPr="00F0754D">
        <w:rPr>
          <w:sz w:val="24"/>
          <w:szCs w:val="24"/>
        </w:rPr>
        <w:t xml:space="preserve">ractice and guidance on the </w:t>
      </w:r>
      <w:r w:rsidR="00731CC5">
        <w:rPr>
          <w:sz w:val="24"/>
          <w:szCs w:val="24"/>
        </w:rPr>
        <w:t>i</w:t>
      </w:r>
      <w:r w:rsidRPr="00F0754D">
        <w:rPr>
          <w:sz w:val="24"/>
          <w:szCs w:val="24"/>
        </w:rPr>
        <w:t xml:space="preserve">ntranet. </w:t>
      </w:r>
    </w:p>
    <w:p w14:paraId="54028333" w14:textId="77777777" w:rsidR="00356E30" w:rsidRPr="00DB65FA" w:rsidRDefault="00356E30" w:rsidP="00273668">
      <w:pPr>
        <w:pStyle w:val="Heading1"/>
      </w:pPr>
      <w:r w:rsidRPr="00DB65FA">
        <w:t xml:space="preserve">consultation and dissemination </w:t>
      </w:r>
    </w:p>
    <w:p w14:paraId="7F7011C4" w14:textId="5011A955" w:rsidR="00356E30" w:rsidRPr="00F0754D" w:rsidRDefault="00356E30" w:rsidP="00356E30">
      <w:pPr>
        <w:pStyle w:val="Heading2"/>
        <w:rPr>
          <w:rFonts w:cstheme="minorHAnsi"/>
          <w:sz w:val="24"/>
          <w:szCs w:val="24"/>
        </w:rPr>
      </w:pPr>
      <w:r w:rsidRPr="00F0754D">
        <w:rPr>
          <w:rFonts w:cstheme="minorHAnsi"/>
          <w:sz w:val="24"/>
          <w:szCs w:val="24"/>
        </w:rPr>
        <w:t xml:space="preserve">This Policy will be available to staff on </w:t>
      </w:r>
      <w:r w:rsidR="00D1548E">
        <w:rPr>
          <w:rFonts w:cstheme="minorHAnsi"/>
          <w:sz w:val="24"/>
          <w:szCs w:val="24"/>
        </w:rPr>
        <w:t xml:space="preserve">the practice Shared Drive </w:t>
      </w:r>
      <w:r w:rsidRPr="00F0754D">
        <w:rPr>
          <w:rFonts w:cstheme="minorHAnsi"/>
          <w:sz w:val="24"/>
          <w:szCs w:val="24"/>
        </w:rPr>
        <w:t>and all staff will be notified of its existence upon starting in post, or when the Policy is reviewed and republished.</w:t>
      </w:r>
    </w:p>
    <w:p w14:paraId="0D5F9B69" w14:textId="77777777" w:rsidR="00356E30" w:rsidRPr="00DB65FA" w:rsidRDefault="00356E30" w:rsidP="00273668">
      <w:pPr>
        <w:pStyle w:val="Heading1"/>
      </w:pPr>
      <w:r w:rsidRPr="00DB65FA">
        <w:t>Monitoring compliance and effectiveness of the policy</w:t>
      </w:r>
    </w:p>
    <w:p w14:paraId="27D9CD28" w14:textId="11081F43" w:rsidR="00356E30" w:rsidRPr="00F0754D" w:rsidRDefault="00356E30" w:rsidP="00142937">
      <w:pPr>
        <w:pStyle w:val="Heading2"/>
        <w:rPr>
          <w:rFonts w:cstheme="minorHAnsi"/>
          <w:sz w:val="24"/>
          <w:szCs w:val="24"/>
        </w:rPr>
      </w:pPr>
      <w:r w:rsidRPr="00F0754D">
        <w:rPr>
          <w:rFonts w:cstheme="minorHAnsi"/>
          <w:sz w:val="24"/>
          <w:szCs w:val="24"/>
        </w:rPr>
        <w:t xml:space="preserve">Monitoring of overall compliance with FOIA obligations will be completed by </w:t>
      </w:r>
      <w:r w:rsidR="00D1548E">
        <w:rPr>
          <w:rFonts w:cstheme="minorHAnsi"/>
          <w:sz w:val="24"/>
          <w:szCs w:val="24"/>
        </w:rPr>
        <w:t xml:space="preserve">Sarah Faulkner, Practice Business Manager &amp; SIRO. </w:t>
      </w:r>
      <w:r w:rsidR="00142937" w:rsidRPr="00F0754D">
        <w:rPr>
          <w:rFonts w:cstheme="minorHAnsi"/>
          <w:sz w:val="24"/>
          <w:szCs w:val="24"/>
        </w:rPr>
        <w:t>The Practice will also use complaints relating to FOI requests as a monitoring tool to drive improvements in practice.</w:t>
      </w:r>
    </w:p>
    <w:p w14:paraId="69A05258" w14:textId="77777777" w:rsidR="00356E30" w:rsidRPr="00F0754D" w:rsidRDefault="00356E30" w:rsidP="00356E30">
      <w:pPr>
        <w:pStyle w:val="Heading2"/>
        <w:rPr>
          <w:rFonts w:cstheme="minorHAnsi"/>
          <w:sz w:val="24"/>
          <w:szCs w:val="24"/>
        </w:rPr>
      </w:pPr>
      <w:r w:rsidRPr="00F0754D">
        <w:rPr>
          <w:rFonts w:cstheme="minorHAnsi"/>
          <w:sz w:val="24"/>
          <w:szCs w:val="24"/>
        </w:rPr>
        <w:t xml:space="preserve">The Model Publication Scheme will be reviewed annually. </w:t>
      </w:r>
    </w:p>
    <w:p w14:paraId="6DE85B1D" w14:textId="77777777" w:rsidR="00356E30" w:rsidRPr="00DB65FA" w:rsidRDefault="00356E30" w:rsidP="00273668">
      <w:pPr>
        <w:pStyle w:val="Heading1"/>
      </w:pPr>
      <w:r w:rsidRPr="00DB65FA">
        <w:t>document review frequency and version control</w:t>
      </w:r>
    </w:p>
    <w:p w14:paraId="23BD6553" w14:textId="41FD4351" w:rsidR="00356E30" w:rsidRPr="00F0754D" w:rsidRDefault="00356E30" w:rsidP="00142937">
      <w:pPr>
        <w:pStyle w:val="Heading2"/>
        <w:rPr>
          <w:rFonts w:cstheme="minorHAnsi"/>
          <w:sz w:val="24"/>
          <w:szCs w:val="24"/>
        </w:rPr>
      </w:pPr>
      <w:r w:rsidRPr="00F0754D">
        <w:rPr>
          <w:rFonts w:cstheme="minorHAnsi"/>
          <w:sz w:val="24"/>
          <w:szCs w:val="24"/>
        </w:rPr>
        <w:t xml:space="preserve">This Policy is version controlled and will be reviewed every three years, or earlier if appropriate. </w:t>
      </w:r>
    </w:p>
    <w:p w14:paraId="2C0C5BAF" w14:textId="71261992" w:rsidR="002E328D" w:rsidRDefault="002E328D">
      <w:pPr>
        <w:rPr>
          <w:rFonts w:eastAsia="Times New Roman" w:cstheme="minorHAnsi"/>
          <w:szCs w:val="24"/>
        </w:rPr>
      </w:pPr>
      <w:r>
        <w:rPr>
          <w:rFonts w:cstheme="minorHAnsi"/>
          <w:szCs w:val="24"/>
        </w:rPr>
        <w:br w:type="page"/>
      </w:r>
    </w:p>
    <w:p w14:paraId="71937AC4" w14:textId="291E4A02" w:rsidR="00356E30" w:rsidRPr="001B5005" w:rsidRDefault="00356E30" w:rsidP="002E328D">
      <w:pPr>
        <w:pStyle w:val="Title"/>
        <w:ind w:left="2880"/>
        <w:jc w:val="right"/>
        <w:rPr>
          <w:color w:val="4472C4" w:themeColor="accent1"/>
        </w:rPr>
      </w:pPr>
      <w:r w:rsidRPr="001B5005">
        <w:rPr>
          <w:color w:val="4472C4" w:themeColor="accent1"/>
        </w:rPr>
        <w:lastRenderedPageBreak/>
        <w:t>Appendix A</w:t>
      </w:r>
    </w:p>
    <w:p w14:paraId="2ACA9AD7" w14:textId="214408BD" w:rsidR="00356E30" w:rsidRDefault="005345EF" w:rsidP="001B5005">
      <w:pPr>
        <w:pStyle w:val="Title"/>
        <w:jc w:val="left"/>
        <w:rPr>
          <w:color w:val="4472C4" w:themeColor="accent1"/>
        </w:rPr>
      </w:pPr>
      <w:r>
        <w:rPr>
          <w:color w:val="4472C4" w:themeColor="accent1"/>
        </w:rPr>
        <w:t>DEFINITIONS, LEGISLATION AND GUIDANCE</w:t>
      </w:r>
    </w:p>
    <w:p w14:paraId="1541A549" w14:textId="77777777" w:rsidR="001B5005" w:rsidRPr="001B5005" w:rsidRDefault="001B5005" w:rsidP="00CD4556">
      <w:pPr>
        <w:spacing w:after="0"/>
      </w:pPr>
    </w:p>
    <w:p w14:paraId="709EA264" w14:textId="3E9E3A13" w:rsidR="00846B22" w:rsidRPr="00846B22" w:rsidRDefault="00846B22" w:rsidP="00273668">
      <w:pPr>
        <w:pStyle w:val="Section"/>
      </w:pPr>
      <w:r w:rsidRPr="00846B22">
        <w:t>Definitions:</w:t>
      </w:r>
    </w:p>
    <w:p w14:paraId="4CD8C314" w14:textId="6C67AA68" w:rsidR="00356E30" w:rsidRPr="00DB65FA" w:rsidRDefault="00356E30" w:rsidP="008B0E44">
      <w:pPr>
        <w:rPr>
          <w:rFonts w:cstheme="minorHAnsi"/>
          <w:color w:val="4472C4" w:themeColor="accent1"/>
          <w:sz w:val="24"/>
          <w:szCs w:val="24"/>
        </w:rPr>
      </w:pPr>
      <w:r w:rsidRPr="00846B22">
        <w:rPr>
          <w:rFonts w:cstheme="minorHAnsi"/>
          <w:b/>
          <w:bCs/>
          <w:color w:val="4472C4" w:themeColor="accent1"/>
          <w:sz w:val="24"/>
          <w:szCs w:val="24"/>
        </w:rPr>
        <w:t>Data set</w:t>
      </w:r>
      <w:r w:rsidRPr="00DB65FA">
        <w:rPr>
          <w:rFonts w:cstheme="minorHAnsi"/>
          <w:color w:val="4472C4" w:themeColor="accent1"/>
          <w:sz w:val="24"/>
          <w:szCs w:val="24"/>
        </w:rPr>
        <w:t xml:space="preserve"> – </w:t>
      </w:r>
      <w:r w:rsidR="00846B22" w:rsidRPr="00EA069E">
        <w:rPr>
          <w:rFonts w:cstheme="minorHAnsi"/>
          <w:sz w:val="24"/>
          <w:szCs w:val="24"/>
        </w:rPr>
        <w:t>as per s.1</w:t>
      </w:r>
      <w:r w:rsidRPr="00EA069E">
        <w:rPr>
          <w:rFonts w:cstheme="minorHAnsi"/>
          <w:sz w:val="24"/>
          <w:szCs w:val="24"/>
        </w:rPr>
        <w:t>1(5) FOI</w:t>
      </w:r>
      <w:r w:rsidR="00846B22" w:rsidRPr="00EA069E">
        <w:rPr>
          <w:rFonts w:cstheme="minorHAnsi"/>
          <w:sz w:val="24"/>
          <w:szCs w:val="24"/>
        </w:rPr>
        <w:t xml:space="preserve"> Act, a “dataset” means information comprising a collection of information held in electronic form, where most or </w:t>
      </w:r>
      <w:proofErr w:type="gramStart"/>
      <w:r w:rsidR="00846B22" w:rsidRPr="00EA069E">
        <w:rPr>
          <w:rFonts w:cstheme="minorHAnsi"/>
          <w:sz w:val="24"/>
          <w:szCs w:val="24"/>
        </w:rPr>
        <w:t>all of</w:t>
      </w:r>
      <w:proofErr w:type="gramEnd"/>
      <w:r w:rsidR="00846B22" w:rsidRPr="00EA069E">
        <w:rPr>
          <w:rFonts w:cstheme="minorHAnsi"/>
          <w:sz w:val="24"/>
          <w:szCs w:val="24"/>
        </w:rPr>
        <w:t xml:space="preserve"> the information in the collection has been obtained or recorded for a public authority</w:t>
      </w:r>
      <w:r w:rsidR="00EA069E" w:rsidRPr="00EA069E">
        <w:rPr>
          <w:rFonts w:cstheme="minorHAnsi"/>
          <w:sz w:val="24"/>
          <w:szCs w:val="24"/>
        </w:rPr>
        <w:t xml:space="preserve"> in connection with the service or function that authority provides. </w:t>
      </w:r>
      <w:r w:rsidR="001B5005">
        <w:rPr>
          <w:rFonts w:cstheme="minorHAnsi"/>
          <w:sz w:val="24"/>
          <w:szCs w:val="24"/>
        </w:rPr>
        <w:t xml:space="preserve"> </w:t>
      </w:r>
      <w:r w:rsidR="00EA069E" w:rsidRPr="00EA069E">
        <w:rPr>
          <w:rFonts w:cstheme="minorHAnsi"/>
          <w:sz w:val="24"/>
          <w:szCs w:val="24"/>
        </w:rPr>
        <w:t>The information must be factual and not the product of interpretation or an official statistic within definition of s.6(1) Statistics and Registration Service Act 2007</w:t>
      </w:r>
      <w:r w:rsidR="000274FE">
        <w:rPr>
          <w:rFonts w:cstheme="minorHAnsi"/>
          <w:sz w:val="24"/>
          <w:szCs w:val="24"/>
        </w:rPr>
        <w:t>.</w:t>
      </w:r>
    </w:p>
    <w:p w14:paraId="2492B498" w14:textId="6E41C677" w:rsidR="00356E30" w:rsidRPr="00EA069E" w:rsidRDefault="00EA069E" w:rsidP="008B0E44">
      <w:pPr>
        <w:rPr>
          <w:rFonts w:cstheme="minorHAnsi"/>
          <w:color w:val="4472C4" w:themeColor="accent1"/>
          <w:sz w:val="24"/>
          <w:szCs w:val="24"/>
        </w:rPr>
      </w:pPr>
      <w:r>
        <w:rPr>
          <w:rFonts w:cstheme="minorHAnsi"/>
          <w:b/>
          <w:bCs/>
          <w:color w:val="4472C4" w:themeColor="accent1"/>
          <w:sz w:val="24"/>
          <w:szCs w:val="24"/>
        </w:rPr>
        <w:t xml:space="preserve">An official statistic </w:t>
      </w:r>
      <w:r w:rsidRPr="00EA069E">
        <w:rPr>
          <w:rFonts w:cstheme="minorHAnsi"/>
          <w:color w:val="4472C4" w:themeColor="accent1"/>
          <w:sz w:val="24"/>
          <w:szCs w:val="24"/>
        </w:rPr>
        <w:t>–</w:t>
      </w:r>
      <w:r>
        <w:rPr>
          <w:rFonts w:cstheme="minorHAnsi"/>
          <w:b/>
          <w:bCs/>
          <w:color w:val="4472C4" w:themeColor="accent1"/>
          <w:sz w:val="24"/>
          <w:szCs w:val="24"/>
        </w:rPr>
        <w:t xml:space="preserve"> </w:t>
      </w:r>
      <w:r w:rsidRPr="00EA069E">
        <w:rPr>
          <w:rFonts w:cstheme="minorHAnsi"/>
          <w:sz w:val="24"/>
          <w:szCs w:val="24"/>
        </w:rPr>
        <w:t>as per s.6(1) of the Statistics and Registration Service Act 2007, an official statistic is one which is produced by the Statistics Board, a government department, Scottish, Welsh or Northern Irish administration/authority or any other person acting on behalf of the Crown</w:t>
      </w:r>
      <w:r w:rsidR="000274FE">
        <w:rPr>
          <w:rFonts w:cstheme="minorHAnsi"/>
          <w:sz w:val="24"/>
          <w:szCs w:val="24"/>
        </w:rPr>
        <w:t>.</w:t>
      </w:r>
    </w:p>
    <w:p w14:paraId="2B270117" w14:textId="7367C01B" w:rsidR="00356E30" w:rsidRPr="00EA069E" w:rsidRDefault="00356E30" w:rsidP="008B0E44">
      <w:pPr>
        <w:rPr>
          <w:rFonts w:cstheme="minorHAnsi"/>
          <w:color w:val="4472C4" w:themeColor="accent1"/>
          <w:sz w:val="24"/>
          <w:szCs w:val="24"/>
        </w:rPr>
      </w:pPr>
      <w:r w:rsidRPr="00846B22">
        <w:rPr>
          <w:rFonts w:cstheme="minorHAnsi"/>
          <w:b/>
          <w:bCs/>
          <w:color w:val="4472C4" w:themeColor="accent1"/>
          <w:sz w:val="24"/>
          <w:szCs w:val="24"/>
        </w:rPr>
        <w:t>Publication scheme</w:t>
      </w:r>
      <w:r w:rsidR="00EA069E">
        <w:rPr>
          <w:rFonts w:cstheme="minorHAnsi"/>
          <w:b/>
          <w:bCs/>
          <w:color w:val="4472C4" w:themeColor="accent1"/>
          <w:sz w:val="24"/>
          <w:szCs w:val="24"/>
        </w:rPr>
        <w:t xml:space="preserve"> </w:t>
      </w:r>
      <w:r w:rsidR="00EA069E">
        <w:rPr>
          <w:rFonts w:cstheme="minorHAnsi"/>
          <w:color w:val="4472C4" w:themeColor="accent1"/>
          <w:sz w:val="24"/>
          <w:szCs w:val="24"/>
        </w:rPr>
        <w:t>–</w:t>
      </w:r>
      <w:r w:rsidR="00EA069E" w:rsidRPr="00EA069E">
        <w:rPr>
          <w:rFonts w:cstheme="minorHAnsi"/>
          <w:sz w:val="24"/>
          <w:szCs w:val="24"/>
        </w:rPr>
        <w:t xml:space="preserve"> a scheme which relates to the publication of information by the authority, approved by the Commissioner, and includes classes of information published or intended to be published, the </w:t>
      </w:r>
      <w:proofErr w:type="gramStart"/>
      <w:r w:rsidR="00EA069E" w:rsidRPr="00EA069E">
        <w:rPr>
          <w:rFonts w:cstheme="minorHAnsi"/>
          <w:sz w:val="24"/>
          <w:szCs w:val="24"/>
        </w:rPr>
        <w:t>manner in which</w:t>
      </w:r>
      <w:proofErr w:type="gramEnd"/>
      <w:r w:rsidR="00EA069E" w:rsidRPr="00EA069E">
        <w:rPr>
          <w:rFonts w:cstheme="minorHAnsi"/>
          <w:sz w:val="24"/>
          <w:szCs w:val="24"/>
        </w:rPr>
        <w:t xml:space="preserve"> information of each class is published or intended to be published and whether the information is free or carries a charge</w:t>
      </w:r>
      <w:r w:rsidR="000274FE">
        <w:rPr>
          <w:rFonts w:cstheme="minorHAnsi"/>
          <w:sz w:val="24"/>
          <w:szCs w:val="24"/>
        </w:rPr>
        <w:t>.</w:t>
      </w:r>
      <w:r w:rsidR="00EA069E" w:rsidRPr="00EA069E">
        <w:rPr>
          <w:rFonts w:cstheme="minorHAnsi"/>
          <w:sz w:val="24"/>
          <w:szCs w:val="24"/>
        </w:rPr>
        <w:t xml:space="preserve"> </w:t>
      </w:r>
    </w:p>
    <w:p w14:paraId="126188FA" w14:textId="60013644" w:rsidR="00356E30" w:rsidRPr="008B0E44" w:rsidRDefault="00356E30" w:rsidP="008B0E44">
      <w:pPr>
        <w:rPr>
          <w:rFonts w:cstheme="minorHAnsi"/>
          <w:color w:val="4472C4" w:themeColor="accent1"/>
          <w:sz w:val="24"/>
          <w:szCs w:val="24"/>
        </w:rPr>
      </w:pPr>
      <w:r w:rsidRPr="00846B22">
        <w:rPr>
          <w:rFonts w:cstheme="minorHAnsi"/>
          <w:b/>
          <w:bCs/>
          <w:color w:val="4472C4" w:themeColor="accent1"/>
          <w:sz w:val="24"/>
          <w:szCs w:val="24"/>
        </w:rPr>
        <w:t>Open Government Licence</w:t>
      </w:r>
      <w:r w:rsidR="008B0E44">
        <w:rPr>
          <w:rFonts w:cstheme="minorHAnsi"/>
          <w:color w:val="4472C4" w:themeColor="accent1"/>
          <w:sz w:val="24"/>
          <w:szCs w:val="24"/>
        </w:rPr>
        <w:t xml:space="preserve"> – </w:t>
      </w:r>
      <w:r w:rsidR="008B0E44" w:rsidRPr="008B0E44">
        <w:rPr>
          <w:rFonts w:cstheme="minorHAnsi"/>
          <w:sz w:val="24"/>
          <w:szCs w:val="24"/>
        </w:rPr>
        <w:t>OGL is a simple set of terms and conditions that facilitates the re-use of a wide range of public sector information free of charge, developed and maintained by the National Archives and is akin to a Common Open Licence</w:t>
      </w:r>
      <w:r w:rsidR="000274FE">
        <w:rPr>
          <w:rFonts w:cstheme="minorHAnsi"/>
          <w:sz w:val="24"/>
          <w:szCs w:val="24"/>
        </w:rPr>
        <w:t>.</w:t>
      </w:r>
    </w:p>
    <w:p w14:paraId="5A747225" w14:textId="298BAA7E" w:rsidR="00356E30" w:rsidRPr="00DB65FA" w:rsidRDefault="00356E30" w:rsidP="008B0E44">
      <w:pPr>
        <w:rPr>
          <w:rFonts w:cstheme="minorHAnsi"/>
          <w:color w:val="4472C4" w:themeColor="accent1"/>
          <w:sz w:val="24"/>
          <w:szCs w:val="24"/>
        </w:rPr>
      </w:pPr>
      <w:r w:rsidRPr="00846B22">
        <w:rPr>
          <w:rFonts w:cstheme="minorHAnsi"/>
          <w:b/>
          <w:bCs/>
          <w:color w:val="4472C4" w:themeColor="accent1"/>
          <w:sz w:val="24"/>
          <w:szCs w:val="24"/>
        </w:rPr>
        <w:t>Specified licence</w:t>
      </w:r>
      <w:r w:rsidRPr="00DB65FA">
        <w:rPr>
          <w:rFonts w:cstheme="minorHAnsi"/>
          <w:color w:val="4472C4" w:themeColor="accent1"/>
          <w:sz w:val="24"/>
          <w:szCs w:val="24"/>
        </w:rPr>
        <w:t xml:space="preserve"> – </w:t>
      </w:r>
      <w:r w:rsidR="008B0E44" w:rsidRPr="008B0E44">
        <w:rPr>
          <w:rFonts w:cstheme="minorHAnsi"/>
          <w:sz w:val="24"/>
          <w:szCs w:val="24"/>
        </w:rPr>
        <w:t>as per s.</w:t>
      </w:r>
      <w:r w:rsidRPr="008B0E44">
        <w:rPr>
          <w:rFonts w:cstheme="minorHAnsi"/>
          <w:sz w:val="24"/>
          <w:szCs w:val="24"/>
        </w:rPr>
        <w:t>1</w:t>
      </w:r>
      <w:r w:rsidR="008B0E44" w:rsidRPr="008B0E44">
        <w:rPr>
          <w:rFonts w:cstheme="minorHAnsi"/>
          <w:sz w:val="24"/>
          <w:szCs w:val="24"/>
        </w:rPr>
        <w:t>1A(8</w:t>
      </w:r>
      <w:r w:rsidRPr="008B0E44">
        <w:rPr>
          <w:rFonts w:cstheme="minorHAnsi"/>
          <w:sz w:val="24"/>
          <w:szCs w:val="24"/>
        </w:rPr>
        <w:t>) FOIA</w:t>
      </w:r>
      <w:r w:rsidR="008B0E44" w:rsidRPr="008B0E44">
        <w:rPr>
          <w:rFonts w:cstheme="minorHAnsi"/>
          <w:sz w:val="24"/>
          <w:szCs w:val="24"/>
        </w:rPr>
        <w:t>, a specified licence is the licence specified by the Minister of the Cabinet Office in a code of Practice issued under s.45 FOIA</w:t>
      </w:r>
      <w:r w:rsidR="000274FE">
        <w:rPr>
          <w:rFonts w:cstheme="minorHAnsi"/>
          <w:sz w:val="24"/>
          <w:szCs w:val="24"/>
        </w:rPr>
        <w:t>.</w:t>
      </w:r>
    </w:p>
    <w:p w14:paraId="303DEE87" w14:textId="6221F0C7" w:rsidR="00356E30" w:rsidRPr="005905AB" w:rsidRDefault="00356E30" w:rsidP="005905AB">
      <w:pPr>
        <w:rPr>
          <w:rFonts w:cstheme="minorHAnsi"/>
          <w:color w:val="4472C4" w:themeColor="accent1"/>
          <w:sz w:val="24"/>
          <w:szCs w:val="24"/>
        </w:rPr>
      </w:pPr>
      <w:r w:rsidRPr="00846B22">
        <w:rPr>
          <w:rFonts w:cstheme="minorHAnsi"/>
          <w:b/>
          <w:bCs/>
          <w:color w:val="4472C4" w:themeColor="accent1"/>
          <w:sz w:val="24"/>
          <w:szCs w:val="24"/>
        </w:rPr>
        <w:t>Relevant copyright work</w:t>
      </w:r>
      <w:r w:rsidRPr="00DB65FA">
        <w:rPr>
          <w:rFonts w:cstheme="minorHAnsi"/>
          <w:color w:val="4472C4" w:themeColor="accent1"/>
          <w:sz w:val="24"/>
          <w:szCs w:val="24"/>
        </w:rPr>
        <w:t xml:space="preserve"> – </w:t>
      </w:r>
      <w:r w:rsidR="008B0E44" w:rsidRPr="008B0E44">
        <w:rPr>
          <w:rFonts w:cstheme="minorHAnsi"/>
          <w:sz w:val="24"/>
          <w:szCs w:val="24"/>
        </w:rPr>
        <w:t>as per s.</w:t>
      </w:r>
      <w:r w:rsidRPr="008B0E44">
        <w:rPr>
          <w:rFonts w:cstheme="minorHAnsi"/>
          <w:sz w:val="24"/>
          <w:szCs w:val="24"/>
        </w:rPr>
        <w:t>1</w:t>
      </w:r>
      <w:r w:rsidR="008B0E44" w:rsidRPr="008B0E44">
        <w:rPr>
          <w:rFonts w:cstheme="minorHAnsi"/>
          <w:sz w:val="24"/>
          <w:szCs w:val="24"/>
        </w:rPr>
        <w:t>1A</w:t>
      </w:r>
      <w:r w:rsidRPr="008B0E44">
        <w:rPr>
          <w:rFonts w:cstheme="minorHAnsi"/>
          <w:sz w:val="24"/>
          <w:szCs w:val="24"/>
        </w:rPr>
        <w:t>(8) FOIA</w:t>
      </w:r>
      <w:r w:rsidR="008B0E44" w:rsidRPr="008B0E44">
        <w:rPr>
          <w:rFonts w:cstheme="minorHAnsi"/>
          <w:sz w:val="24"/>
          <w:szCs w:val="24"/>
        </w:rPr>
        <w:t>, is a copyright work or database subject to a database right but excludes a relevant Crown work or Parliamentary work.</w:t>
      </w:r>
      <w:r w:rsidR="001B5005">
        <w:rPr>
          <w:rFonts w:cstheme="minorHAnsi"/>
          <w:sz w:val="24"/>
          <w:szCs w:val="24"/>
        </w:rPr>
        <w:t xml:space="preserve"> </w:t>
      </w:r>
      <w:r w:rsidR="008B0E44" w:rsidRPr="008B0E44">
        <w:rPr>
          <w:rFonts w:cstheme="minorHAnsi"/>
          <w:sz w:val="24"/>
          <w:szCs w:val="24"/>
        </w:rPr>
        <w:t xml:space="preserve"> “Copyright work” and “copyright owner” are given the same definitions as in Pa</w:t>
      </w:r>
      <w:r w:rsidR="001B5005">
        <w:rPr>
          <w:rFonts w:cstheme="minorHAnsi"/>
          <w:sz w:val="24"/>
          <w:szCs w:val="24"/>
        </w:rPr>
        <w:t>r</w:t>
      </w:r>
      <w:r w:rsidR="008B0E44" w:rsidRPr="008B0E44">
        <w:rPr>
          <w:rFonts w:cstheme="minorHAnsi"/>
          <w:sz w:val="24"/>
          <w:szCs w:val="24"/>
        </w:rPr>
        <w:t>t 1 of the Copyright, Designs and Patents Act 1988</w:t>
      </w:r>
      <w:r w:rsidR="001B5005">
        <w:rPr>
          <w:rFonts w:cstheme="minorHAnsi"/>
          <w:sz w:val="24"/>
          <w:szCs w:val="24"/>
        </w:rPr>
        <w:t>.</w:t>
      </w:r>
    </w:p>
    <w:p w14:paraId="1320FA91" w14:textId="1F8B6F13" w:rsidR="00846B22" w:rsidRPr="00846B22" w:rsidRDefault="00846B22" w:rsidP="00273668">
      <w:pPr>
        <w:pStyle w:val="Section"/>
      </w:pPr>
      <w:r>
        <w:t>Legislation and Guid</w:t>
      </w:r>
      <w:r w:rsidR="001B5005">
        <w:t>ance</w:t>
      </w:r>
      <w:r>
        <w:t>:</w:t>
      </w:r>
    </w:p>
    <w:p w14:paraId="27BF1CE9" w14:textId="7F6EB2B4" w:rsidR="00846B22" w:rsidRPr="00CD4556" w:rsidRDefault="00356E30" w:rsidP="005422D2">
      <w:pPr>
        <w:pStyle w:val="ListBullet3"/>
        <w:rPr>
          <w:sz w:val="24"/>
          <w:szCs w:val="24"/>
        </w:rPr>
      </w:pPr>
      <w:r w:rsidRPr="00CD4556">
        <w:rPr>
          <w:sz w:val="24"/>
          <w:szCs w:val="24"/>
        </w:rPr>
        <w:t>Freedom of Information Act 2000</w:t>
      </w:r>
    </w:p>
    <w:p w14:paraId="42A3DE38" w14:textId="37E17202" w:rsidR="00846B22" w:rsidRPr="00CD4556" w:rsidRDefault="00356E30" w:rsidP="005422D2">
      <w:pPr>
        <w:pStyle w:val="ListBullet3"/>
        <w:rPr>
          <w:sz w:val="24"/>
          <w:szCs w:val="24"/>
        </w:rPr>
      </w:pPr>
      <w:r w:rsidRPr="00CD4556">
        <w:rPr>
          <w:sz w:val="24"/>
          <w:szCs w:val="24"/>
        </w:rPr>
        <w:t>Data Protection Act 2018</w:t>
      </w:r>
    </w:p>
    <w:p w14:paraId="09D0A244" w14:textId="41A1B680" w:rsidR="00846B22" w:rsidRPr="00CD4556" w:rsidRDefault="00356E30" w:rsidP="005422D2">
      <w:pPr>
        <w:pStyle w:val="ListBullet3"/>
        <w:rPr>
          <w:sz w:val="24"/>
          <w:szCs w:val="24"/>
        </w:rPr>
      </w:pPr>
      <w:r w:rsidRPr="00CD4556">
        <w:rPr>
          <w:sz w:val="24"/>
          <w:szCs w:val="24"/>
        </w:rPr>
        <w:t>UK G</w:t>
      </w:r>
      <w:r w:rsidR="00846B22" w:rsidRPr="00CD4556">
        <w:rPr>
          <w:sz w:val="24"/>
          <w:szCs w:val="24"/>
        </w:rPr>
        <w:t>eneral Data Protection Regulations</w:t>
      </w:r>
    </w:p>
    <w:p w14:paraId="72667F3A" w14:textId="612BBB65" w:rsidR="00846B22" w:rsidRPr="00CD4556" w:rsidRDefault="00356E30" w:rsidP="005422D2">
      <w:pPr>
        <w:pStyle w:val="ListBullet3"/>
        <w:rPr>
          <w:sz w:val="24"/>
          <w:szCs w:val="24"/>
        </w:rPr>
      </w:pPr>
      <w:r w:rsidRPr="00CD4556">
        <w:rPr>
          <w:sz w:val="24"/>
          <w:szCs w:val="24"/>
        </w:rPr>
        <w:t xml:space="preserve">Confidentiality NHS Code of Practice </w:t>
      </w:r>
    </w:p>
    <w:p w14:paraId="05D50794" w14:textId="7EA1FC90" w:rsidR="00356E30" w:rsidRPr="00CD4556" w:rsidRDefault="00356E30" w:rsidP="005422D2">
      <w:pPr>
        <w:pStyle w:val="ListBullet3"/>
        <w:rPr>
          <w:sz w:val="24"/>
          <w:szCs w:val="24"/>
        </w:rPr>
      </w:pPr>
      <w:r w:rsidRPr="00CD4556">
        <w:rPr>
          <w:sz w:val="24"/>
          <w:szCs w:val="24"/>
        </w:rPr>
        <w:t>Environmental Information Regulations 2004</w:t>
      </w:r>
    </w:p>
    <w:p w14:paraId="58905FCD" w14:textId="0985A99B" w:rsidR="00356E30" w:rsidRPr="00CD4556" w:rsidRDefault="00356E30" w:rsidP="005422D2">
      <w:pPr>
        <w:pStyle w:val="ListBullet3"/>
        <w:rPr>
          <w:sz w:val="24"/>
          <w:szCs w:val="24"/>
        </w:rPr>
      </w:pPr>
      <w:r w:rsidRPr="00CD4556">
        <w:rPr>
          <w:sz w:val="24"/>
          <w:szCs w:val="24"/>
        </w:rPr>
        <w:t>Constitutional Reform and Governance Act 2010</w:t>
      </w:r>
    </w:p>
    <w:p w14:paraId="67C85375" w14:textId="0E43C7F3" w:rsidR="00EA069E" w:rsidRPr="00CD4556" w:rsidRDefault="00EA069E" w:rsidP="005422D2">
      <w:pPr>
        <w:pStyle w:val="ListBullet3"/>
        <w:rPr>
          <w:sz w:val="24"/>
          <w:szCs w:val="24"/>
        </w:rPr>
      </w:pPr>
      <w:r w:rsidRPr="00CD4556">
        <w:rPr>
          <w:sz w:val="24"/>
          <w:szCs w:val="24"/>
        </w:rPr>
        <w:t>Public Records Act 1958</w:t>
      </w:r>
    </w:p>
    <w:p w14:paraId="5617ECF2" w14:textId="3196D80F" w:rsidR="002E328D" w:rsidRPr="005C44D7" w:rsidRDefault="005905AB" w:rsidP="005C44D7">
      <w:pPr>
        <w:pStyle w:val="ListBullet3"/>
        <w:rPr>
          <w:sz w:val="24"/>
          <w:szCs w:val="24"/>
        </w:rPr>
      </w:pPr>
      <w:r w:rsidRPr="00CD4556">
        <w:rPr>
          <w:sz w:val="24"/>
          <w:szCs w:val="24"/>
        </w:rPr>
        <w:t>The Freedom of Information (release of Datasets for Re-use) (Fees) Regulations 2013</w:t>
      </w:r>
    </w:p>
    <w:p w14:paraId="5E4D9967" w14:textId="6D7F11F7" w:rsidR="005C44D7" w:rsidRDefault="005C44D7" w:rsidP="005C44D7">
      <w:pPr>
        <w:pStyle w:val="Title"/>
        <w:jc w:val="right"/>
        <w:rPr>
          <w:color w:val="4472C4" w:themeColor="accent1"/>
          <w:szCs w:val="28"/>
        </w:rPr>
      </w:pPr>
      <w:r w:rsidRPr="001B5005">
        <w:rPr>
          <w:color w:val="4472C4" w:themeColor="accent1"/>
        </w:rPr>
        <w:lastRenderedPageBreak/>
        <w:t>Appendix</w:t>
      </w:r>
      <w:r>
        <w:rPr>
          <w:color w:val="4472C4" w:themeColor="accent1"/>
        </w:rPr>
        <w:t xml:space="preserve"> B</w:t>
      </w:r>
    </w:p>
    <w:p w14:paraId="16E9EAE3" w14:textId="4CD33964" w:rsidR="00356E30" w:rsidRPr="005345EF" w:rsidRDefault="005C44D7" w:rsidP="005C44D7">
      <w:pPr>
        <w:pStyle w:val="Title"/>
        <w:jc w:val="left"/>
        <w:rPr>
          <w:color w:val="4472C4" w:themeColor="accent1"/>
          <w:szCs w:val="28"/>
        </w:rPr>
      </w:pPr>
      <w:r>
        <w:rPr>
          <w:color w:val="4472C4" w:themeColor="accent1"/>
          <w:szCs w:val="28"/>
        </w:rPr>
        <w:br/>
      </w:r>
      <w:r w:rsidR="005345EF" w:rsidRPr="005345EF">
        <w:rPr>
          <w:color w:val="4472C4" w:themeColor="accent1"/>
          <w:szCs w:val="28"/>
        </w:rPr>
        <w:t>ROLES AND RESPONSIBILITIES</w:t>
      </w:r>
      <w:r w:rsidR="00356E30" w:rsidRPr="005345EF">
        <w:rPr>
          <w:color w:val="4472C4" w:themeColor="accent1"/>
          <w:szCs w:val="28"/>
        </w:rPr>
        <w:t xml:space="preserve"> </w:t>
      </w:r>
    </w:p>
    <w:p w14:paraId="49A7E7DA" w14:textId="77777777" w:rsidR="001B5005" w:rsidRPr="001B5005" w:rsidRDefault="001B5005" w:rsidP="005345EF">
      <w:pPr>
        <w:spacing w:after="0"/>
      </w:pPr>
    </w:p>
    <w:p w14:paraId="6444B9BE" w14:textId="77777777" w:rsidR="00EE3916" w:rsidRPr="00EE3916" w:rsidRDefault="00EE3916" w:rsidP="00273668">
      <w:pPr>
        <w:pStyle w:val="Section"/>
      </w:pPr>
      <w:r w:rsidRPr="00EE3916">
        <w:t xml:space="preserve">The Information </w:t>
      </w:r>
      <w:r w:rsidRPr="00273668">
        <w:t>Commissioner</w:t>
      </w:r>
    </w:p>
    <w:p w14:paraId="7FBCB315" w14:textId="476194A5" w:rsidR="00EE3916" w:rsidRPr="00CD4556" w:rsidRDefault="00EE3916" w:rsidP="00273668">
      <w:pPr>
        <w:rPr>
          <w:sz w:val="24"/>
          <w:szCs w:val="24"/>
        </w:rPr>
      </w:pPr>
      <w:r w:rsidRPr="00CD4556">
        <w:rPr>
          <w:sz w:val="24"/>
          <w:szCs w:val="24"/>
        </w:rPr>
        <w:t>The Information Commissioner is the UK</w:t>
      </w:r>
      <w:r w:rsidR="000274FE">
        <w:rPr>
          <w:sz w:val="24"/>
          <w:szCs w:val="24"/>
        </w:rPr>
        <w:t>’s</w:t>
      </w:r>
      <w:r w:rsidRPr="00CD4556">
        <w:rPr>
          <w:sz w:val="24"/>
          <w:szCs w:val="24"/>
        </w:rPr>
        <w:t xml:space="preserve"> Independent Supervisory Authority for Data Protection and Freedom of Information.  The role exists to promote good practice and oversee and enforce compliance with the Data Protection Act 2018 and Freedom of Information Act 2000.  The Information Commissioner has the power to impose monetary penalties for a serious breach or misuse of data, and for failure to report such an incident.  The ICO can also investigate and issues enforcement notice and act as an independent advisor for consultation. </w:t>
      </w:r>
    </w:p>
    <w:p w14:paraId="31045FD9" w14:textId="77777777" w:rsidR="00EE3916" w:rsidRDefault="00EE3916" w:rsidP="000864F9">
      <w:pPr>
        <w:pStyle w:val="Section"/>
      </w:pPr>
      <w:r>
        <w:t>The Practice</w:t>
      </w:r>
    </w:p>
    <w:p w14:paraId="241C5F3D" w14:textId="49767355" w:rsidR="00EE3916" w:rsidRPr="00CD4556" w:rsidRDefault="00EE3916" w:rsidP="00273668">
      <w:pPr>
        <w:rPr>
          <w:sz w:val="24"/>
          <w:szCs w:val="24"/>
        </w:rPr>
      </w:pPr>
      <w:r w:rsidRPr="00CD4556">
        <w:rPr>
          <w:sz w:val="24"/>
          <w:szCs w:val="24"/>
        </w:rPr>
        <w:t xml:space="preserve">The Practice is the public authority with respect to information and data sets available under the Freedom of Information Act 2000. </w:t>
      </w:r>
      <w:r w:rsidR="001B5005" w:rsidRPr="00CD4556">
        <w:rPr>
          <w:sz w:val="24"/>
          <w:szCs w:val="24"/>
        </w:rPr>
        <w:t xml:space="preserve"> </w:t>
      </w:r>
      <w:r w:rsidRPr="00CD4556">
        <w:rPr>
          <w:rFonts w:cstheme="minorHAnsi"/>
          <w:sz w:val="24"/>
          <w:szCs w:val="24"/>
        </w:rPr>
        <w:t>General Practitioners (GPs) providing medical services under most contracts within the NHS in England and Wales are public authorities in respect of information relating to those services.</w:t>
      </w:r>
    </w:p>
    <w:p w14:paraId="052F2A96" w14:textId="0FDDE7D2" w:rsidR="00EE3916" w:rsidRPr="00EE3916" w:rsidRDefault="00EE3916" w:rsidP="000864F9">
      <w:pPr>
        <w:pStyle w:val="Section"/>
      </w:pPr>
      <w:r w:rsidRPr="00EE3916">
        <w:t>All NHS employees</w:t>
      </w:r>
    </w:p>
    <w:p w14:paraId="7D817D01" w14:textId="60335540" w:rsidR="00EE3916" w:rsidRPr="00EE3916" w:rsidRDefault="00EE3916" w:rsidP="00EE3916">
      <w:pPr>
        <w:spacing w:after="120"/>
        <w:rPr>
          <w:rFonts w:ascii="Calibri" w:hAnsi="Calibri" w:cs="Calibri"/>
          <w:sz w:val="24"/>
          <w:szCs w:val="24"/>
        </w:rPr>
      </w:pPr>
      <w:r w:rsidRPr="00EE3916">
        <w:rPr>
          <w:rFonts w:ascii="Calibri" w:hAnsi="Calibri" w:cs="Calibri"/>
          <w:sz w:val="24"/>
          <w:szCs w:val="24"/>
        </w:rPr>
        <w:t xml:space="preserve">All NHS employees whether clinical or non-clinical are responsible for the records that they create, receive or use during the course of their </w:t>
      </w:r>
      <w:proofErr w:type="gramStart"/>
      <w:r w:rsidRPr="00EE3916">
        <w:rPr>
          <w:rFonts w:ascii="Calibri" w:hAnsi="Calibri" w:cs="Calibri"/>
          <w:sz w:val="24"/>
          <w:szCs w:val="24"/>
        </w:rPr>
        <w:t>duties;</w:t>
      </w:r>
      <w:proofErr w:type="gramEnd"/>
      <w:r w:rsidRPr="00EE3916">
        <w:rPr>
          <w:rFonts w:ascii="Calibri" w:hAnsi="Calibri" w:cs="Calibri"/>
          <w:sz w:val="24"/>
          <w:szCs w:val="24"/>
        </w:rPr>
        <w:t xml:space="preserve"> staff and patient records alike.  All employees have an obligation to comply with the principles set out in the Data Protection Act 2018 and Confidentiality NHS Code of Practice, as per their contract of employment.</w:t>
      </w:r>
    </w:p>
    <w:p w14:paraId="4C5B3869" w14:textId="6226A60A" w:rsidR="00356E30" w:rsidRPr="00EE3916" w:rsidRDefault="00356E30" w:rsidP="00EE3916">
      <w:pPr>
        <w:rPr>
          <w:rFonts w:cstheme="minorHAnsi"/>
          <w:sz w:val="24"/>
          <w:szCs w:val="24"/>
        </w:rPr>
      </w:pPr>
      <w:r>
        <w:rPr>
          <w:rFonts w:cstheme="minorHAnsi"/>
        </w:rPr>
        <w:br w:type="page"/>
      </w:r>
    </w:p>
    <w:p w14:paraId="25897852" w14:textId="77777777" w:rsidR="00356E30" w:rsidRDefault="00356E30" w:rsidP="00273668">
      <w:pPr>
        <w:pStyle w:val="Heading1"/>
        <w:numPr>
          <w:ilvl w:val="0"/>
          <w:numId w:val="0"/>
        </w:numPr>
        <w:sectPr w:rsidR="00356E30" w:rsidSect="00524053">
          <w:headerReference w:type="default" r:id="rId11"/>
          <w:footerReference w:type="default" r:id="rId12"/>
          <w:headerReference w:type="first" r:id="rId13"/>
          <w:pgSz w:w="11906" w:h="16838"/>
          <w:pgMar w:top="2156" w:right="1134" w:bottom="1440" w:left="1134" w:header="709" w:footer="709" w:gutter="0"/>
          <w:cols w:space="708"/>
          <w:titlePg/>
          <w:docGrid w:linePitch="360"/>
        </w:sectPr>
      </w:pPr>
    </w:p>
    <w:p w14:paraId="30637B04" w14:textId="7340199C" w:rsidR="00356E30" w:rsidRPr="00AA4EAC" w:rsidRDefault="001B5005" w:rsidP="001B5005">
      <w:pPr>
        <w:pStyle w:val="Title"/>
        <w:jc w:val="right"/>
        <w:rPr>
          <w:rFonts w:cstheme="minorHAnsi"/>
          <w:bCs/>
          <w:color w:val="4472C4" w:themeColor="accent1"/>
          <w:szCs w:val="28"/>
        </w:rPr>
      </w:pPr>
      <w:r>
        <w:lastRenderedPageBreak/>
        <w:t xml:space="preserve">Policy - </w:t>
      </w:r>
      <w:r w:rsidR="00356E30" w:rsidRPr="00273668">
        <w:t>Appendix C</w:t>
      </w:r>
      <w:r w:rsidR="00356E30" w:rsidRPr="00AA4EAC">
        <w:rPr>
          <w:rFonts w:cstheme="minorHAnsi"/>
          <w:bCs/>
          <w:color w:val="4472C4" w:themeColor="accent1"/>
          <w:szCs w:val="28"/>
        </w:rPr>
        <w:t xml:space="preserve"> </w:t>
      </w:r>
    </w:p>
    <w:p w14:paraId="62437B00" w14:textId="2C1776B1" w:rsidR="00CD4556" w:rsidRDefault="005345EF" w:rsidP="009753DD">
      <w:pPr>
        <w:pStyle w:val="Section"/>
      </w:pPr>
      <w:r>
        <w:t>PUBLICATION SCHEME</w:t>
      </w:r>
    </w:p>
    <w:p w14:paraId="6C8DFBAC" w14:textId="299207D7" w:rsidR="00356E30" w:rsidRPr="00AA4EAC" w:rsidRDefault="00356E30" w:rsidP="009753DD">
      <w:pPr>
        <w:pStyle w:val="Section"/>
      </w:pPr>
      <w:r w:rsidRPr="00AA4EAC">
        <w:t>Model Publication Scheme</w:t>
      </w:r>
    </w:p>
    <w:p w14:paraId="1DFCD552" w14:textId="7774BB91" w:rsidR="00356E30" w:rsidRPr="00DB65FA" w:rsidRDefault="00356E30" w:rsidP="00356E30">
      <w:pPr>
        <w:rPr>
          <w:rFonts w:cstheme="minorHAnsi"/>
          <w:sz w:val="24"/>
          <w:szCs w:val="24"/>
        </w:rPr>
      </w:pPr>
      <w:r w:rsidRPr="00DB65FA">
        <w:rPr>
          <w:rFonts w:cstheme="minorHAnsi"/>
          <w:sz w:val="24"/>
          <w:szCs w:val="24"/>
        </w:rPr>
        <w:t>Th</w:t>
      </w:r>
      <w:r>
        <w:rPr>
          <w:rFonts w:cstheme="minorHAnsi"/>
          <w:sz w:val="24"/>
          <w:szCs w:val="24"/>
        </w:rPr>
        <w:t>is</w:t>
      </w:r>
      <w:r w:rsidRPr="00DB65FA">
        <w:rPr>
          <w:rFonts w:cstheme="minorHAnsi"/>
          <w:sz w:val="24"/>
          <w:szCs w:val="24"/>
        </w:rPr>
        <w:t xml:space="preserve"> template lists the information that </w:t>
      </w:r>
      <w:r w:rsidR="00CD4556">
        <w:rPr>
          <w:rFonts w:cstheme="minorHAnsi"/>
          <w:sz w:val="24"/>
          <w:szCs w:val="24"/>
        </w:rPr>
        <w:t>Practices</w:t>
      </w:r>
      <w:r w:rsidRPr="00DB65FA">
        <w:rPr>
          <w:rFonts w:cstheme="minorHAnsi"/>
          <w:sz w:val="24"/>
          <w:szCs w:val="24"/>
        </w:rPr>
        <w:t xml:space="preserve"> should hold and make available within each class. </w:t>
      </w:r>
      <w:r w:rsidR="001B5005">
        <w:rPr>
          <w:rFonts w:cstheme="minorHAnsi"/>
          <w:sz w:val="24"/>
          <w:szCs w:val="24"/>
        </w:rPr>
        <w:t xml:space="preserve"> </w:t>
      </w:r>
      <w:r w:rsidRPr="00DB65FA">
        <w:rPr>
          <w:rFonts w:cstheme="minorHAnsi"/>
          <w:sz w:val="24"/>
          <w:szCs w:val="24"/>
        </w:rPr>
        <w:t xml:space="preserve">When completed, this will provide a list of all the information the </w:t>
      </w:r>
      <w:r w:rsidR="00CD4556">
        <w:rPr>
          <w:rFonts w:cstheme="minorHAnsi"/>
          <w:sz w:val="24"/>
          <w:szCs w:val="24"/>
        </w:rPr>
        <w:t>Practice</w:t>
      </w:r>
      <w:r w:rsidRPr="00DB65FA">
        <w:rPr>
          <w:rFonts w:cstheme="minorHAnsi"/>
          <w:sz w:val="24"/>
          <w:szCs w:val="24"/>
        </w:rPr>
        <w:t xml:space="preserve"> will make routinely available, explain how it can be accessed and </w:t>
      </w:r>
      <w:proofErr w:type="gramStart"/>
      <w:r w:rsidRPr="00DB65FA">
        <w:rPr>
          <w:rFonts w:cstheme="minorHAnsi"/>
          <w:sz w:val="24"/>
          <w:szCs w:val="24"/>
        </w:rPr>
        <w:t>whether or not</w:t>
      </w:r>
      <w:proofErr w:type="gramEnd"/>
      <w:r w:rsidRPr="00DB65FA">
        <w:rPr>
          <w:rFonts w:cstheme="minorHAnsi"/>
          <w:sz w:val="24"/>
          <w:szCs w:val="24"/>
        </w:rPr>
        <w:t xml:space="preserve"> a charge will be made for it. </w:t>
      </w:r>
      <w:r w:rsidR="001B5005">
        <w:rPr>
          <w:rFonts w:cstheme="minorHAnsi"/>
          <w:sz w:val="24"/>
          <w:szCs w:val="24"/>
        </w:rPr>
        <w:t xml:space="preserve"> </w:t>
      </w:r>
      <w:r w:rsidRPr="00DB65FA">
        <w:rPr>
          <w:rFonts w:cstheme="minorHAnsi"/>
          <w:sz w:val="24"/>
          <w:szCs w:val="24"/>
        </w:rPr>
        <w:t>The Practice must:</w:t>
      </w:r>
    </w:p>
    <w:p w14:paraId="07906A8F" w14:textId="53107C9E" w:rsidR="00356E30" w:rsidRPr="001B5005" w:rsidRDefault="00356E30" w:rsidP="005422D2">
      <w:pPr>
        <w:pStyle w:val="ListBullet3"/>
        <w:rPr>
          <w:sz w:val="24"/>
          <w:szCs w:val="24"/>
        </w:rPr>
      </w:pPr>
      <w:r w:rsidRPr="001B5005">
        <w:rPr>
          <w:sz w:val="24"/>
          <w:szCs w:val="24"/>
        </w:rPr>
        <w:t xml:space="preserve">state how the specific information can be obtained and if there is a cost </w:t>
      </w:r>
      <w:proofErr w:type="gramStart"/>
      <w:r w:rsidRPr="001B5005">
        <w:rPr>
          <w:sz w:val="24"/>
          <w:szCs w:val="24"/>
        </w:rPr>
        <w:t>involved;</w:t>
      </w:r>
      <w:proofErr w:type="gramEnd"/>
    </w:p>
    <w:p w14:paraId="4A54932A" w14:textId="77777777" w:rsidR="00356E30" w:rsidRPr="001B5005" w:rsidRDefault="00356E30" w:rsidP="005422D2">
      <w:pPr>
        <w:pStyle w:val="ListBullet3"/>
        <w:rPr>
          <w:sz w:val="24"/>
          <w:szCs w:val="24"/>
        </w:rPr>
      </w:pPr>
      <w:r w:rsidRPr="001B5005">
        <w:rPr>
          <w:sz w:val="24"/>
          <w:szCs w:val="24"/>
        </w:rPr>
        <w:t xml:space="preserve">complete the relevant columns in the template guide; and </w:t>
      </w:r>
    </w:p>
    <w:p w14:paraId="299E9A56" w14:textId="77777777" w:rsidR="00356E30" w:rsidRPr="001B5005" w:rsidRDefault="00356E30" w:rsidP="005422D2">
      <w:pPr>
        <w:pStyle w:val="ListBullet3"/>
        <w:rPr>
          <w:sz w:val="24"/>
          <w:szCs w:val="24"/>
        </w:rPr>
      </w:pPr>
      <w:r w:rsidRPr="001B5005">
        <w:rPr>
          <w:sz w:val="24"/>
          <w:szCs w:val="24"/>
        </w:rPr>
        <w:t>ensure the public can access the completed guide and the information listed in it.</w:t>
      </w:r>
    </w:p>
    <w:p w14:paraId="3822965E" w14:textId="77777777" w:rsidR="00356E30" w:rsidRPr="00CD4556" w:rsidRDefault="00356E30" w:rsidP="00356E30">
      <w:pPr>
        <w:spacing w:before="240" w:after="120" w:line="276" w:lineRule="auto"/>
        <w:rPr>
          <w:rFonts w:eastAsia="Calibri" w:cstheme="minorHAnsi"/>
          <w:b/>
          <w:color w:val="4472C4" w:themeColor="accent1"/>
          <w:sz w:val="28"/>
          <w:szCs w:val="28"/>
        </w:rPr>
      </w:pPr>
      <w:r w:rsidRPr="00CD4556">
        <w:rPr>
          <w:rFonts w:eastAsia="Calibri" w:cstheme="minorHAnsi"/>
          <w:b/>
          <w:color w:val="4472C4" w:themeColor="accent1"/>
          <w:sz w:val="28"/>
          <w:szCs w:val="28"/>
        </w:rPr>
        <w:t xml:space="preserve">Datasets: publishing datasets for re-use </w:t>
      </w:r>
    </w:p>
    <w:p w14:paraId="21EF6C1E" w14:textId="762D2813" w:rsidR="00356E30" w:rsidRPr="00537812" w:rsidRDefault="00356E30" w:rsidP="00356E30">
      <w:pPr>
        <w:spacing w:after="200"/>
        <w:rPr>
          <w:rFonts w:eastAsia="Calibri" w:cstheme="minorHAnsi"/>
          <w:sz w:val="24"/>
          <w:szCs w:val="24"/>
        </w:rPr>
      </w:pPr>
      <w:r w:rsidRPr="00537812">
        <w:rPr>
          <w:rFonts w:eastAsia="Calibri" w:cstheme="minorHAnsi"/>
          <w:sz w:val="24"/>
          <w:szCs w:val="24"/>
        </w:rPr>
        <w:t>Public authorities, including GP</w:t>
      </w:r>
      <w:r w:rsidR="00CD4556">
        <w:rPr>
          <w:rFonts w:eastAsia="Calibri" w:cstheme="minorHAnsi"/>
          <w:sz w:val="24"/>
          <w:szCs w:val="24"/>
        </w:rPr>
        <w:t xml:space="preserve"> Practices</w:t>
      </w:r>
      <w:r w:rsidRPr="00537812">
        <w:rPr>
          <w:rFonts w:eastAsia="Calibri" w:cstheme="minorHAnsi"/>
          <w:sz w:val="24"/>
          <w:szCs w:val="24"/>
        </w:rPr>
        <w:t xml:space="preserve">, must publish under their publication scheme any dataset they hold that has been requested, together with any updated versions, unless they are satisfied that it is not appropriate to do so. </w:t>
      </w:r>
      <w:r w:rsidR="00CD4556">
        <w:rPr>
          <w:rFonts w:eastAsia="Calibri" w:cstheme="minorHAnsi"/>
          <w:sz w:val="24"/>
          <w:szCs w:val="24"/>
        </w:rPr>
        <w:t xml:space="preserve"> </w:t>
      </w:r>
      <w:r w:rsidRPr="00537812">
        <w:rPr>
          <w:rFonts w:eastAsia="Calibri" w:cstheme="minorHAnsi"/>
          <w:sz w:val="24"/>
          <w:szCs w:val="24"/>
        </w:rPr>
        <w:t xml:space="preserve">So far as reasonably practicable, they must publish it in an electronic form that is capable of re-use. </w:t>
      </w:r>
    </w:p>
    <w:p w14:paraId="791377D0" w14:textId="17BE106A" w:rsidR="00356E30" w:rsidRPr="00537812" w:rsidRDefault="00356E30" w:rsidP="00356E30">
      <w:pPr>
        <w:spacing w:after="200"/>
        <w:rPr>
          <w:rFonts w:eastAsia="Calibri" w:cstheme="minorHAnsi"/>
          <w:sz w:val="24"/>
          <w:szCs w:val="24"/>
        </w:rPr>
      </w:pPr>
      <w:r w:rsidRPr="00537812">
        <w:rPr>
          <w:rFonts w:eastAsia="Calibri" w:cstheme="minorHAnsi"/>
          <w:sz w:val="24"/>
          <w:szCs w:val="24"/>
        </w:rPr>
        <w:t xml:space="preserve">If the dataset or any part of it is a relevant copyright work and the public authority is the only owner, the public authority must make it available for re-use under the terms of a specified licence. </w:t>
      </w:r>
      <w:r w:rsidR="00CD4556">
        <w:rPr>
          <w:rFonts w:eastAsia="Calibri" w:cstheme="minorHAnsi"/>
          <w:sz w:val="24"/>
          <w:szCs w:val="24"/>
        </w:rPr>
        <w:t xml:space="preserve"> </w:t>
      </w:r>
      <w:r w:rsidRPr="00537812">
        <w:rPr>
          <w:rFonts w:eastAsia="Calibri" w:cstheme="minorHAnsi"/>
          <w:sz w:val="24"/>
          <w:szCs w:val="24"/>
        </w:rPr>
        <w:t xml:space="preserve">Datasets in which the Crown owns the </w:t>
      </w:r>
      <w:proofErr w:type="gramStart"/>
      <w:r w:rsidRPr="00537812">
        <w:rPr>
          <w:rFonts w:eastAsia="Calibri" w:cstheme="minorHAnsi"/>
          <w:sz w:val="24"/>
          <w:szCs w:val="24"/>
        </w:rPr>
        <w:t>copyright</w:t>
      </w:r>
      <w:proofErr w:type="gramEnd"/>
      <w:r w:rsidRPr="00537812">
        <w:rPr>
          <w:rFonts w:eastAsia="Calibri" w:cstheme="minorHAnsi"/>
          <w:sz w:val="24"/>
          <w:szCs w:val="24"/>
        </w:rPr>
        <w:t xml:space="preserve"> or the database rights are not relevant copyright works. </w:t>
      </w:r>
    </w:p>
    <w:p w14:paraId="7AE85A40" w14:textId="77777777" w:rsidR="00356E30" w:rsidRPr="00537812" w:rsidRDefault="00356E30" w:rsidP="00356E30">
      <w:pPr>
        <w:spacing w:after="200"/>
        <w:rPr>
          <w:rFonts w:eastAsia="Calibri" w:cstheme="minorHAnsi"/>
          <w:sz w:val="24"/>
          <w:szCs w:val="24"/>
        </w:rPr>
      </w:pPr>
      <w:r w:rsidRPr="00537812">
        <w:rPr>
          <w:rFonts w:eastAsia="Calibri" w:cstheme="minorHAnsi"/>
          <w:sz w:val="24"/>
          <w:szCs w:val="24"/>
        </w:rPr>
        <w:t xml:space="preserve">The Datasets Code of Practice recommends that public authorities make datasets available for re-use under the </w:t>
      </w:r>
      <w:hyperlink r:id="rId14" w:history="1">
        <w:r w:rsidRPr="00537812">
          <w:rPr>
            <w:rFonts w:cstheme="minorHAnsi"/>
            <w:color w:val="0000FF"/>
            <w:sz w:val="24"/>
            <w:szCs w:val="24"/>
            <w:u w:val="single"/>
          </w:rPr>
          <w:t>Open Government Licence</w:t>
        </w:r>
      </w:hyperlink>
      <w:r w:rsidRPr="00537812">
        <w:rPr>
          <w:rFonts w:eastAsia="Calibri" w:cstheme="minorHAnsi"/>
          <w:sz w:val="24"/>
          <w:szCs w:val="24"/>
        </w:rPr>
        <w:t xml:space="preserve">.   </w:t>
      </w:r>
    </w:p>
    <w:p w14:paraId="3EDB3479" w14:textId="67B5D1EB" w:rsidR="00356E30" w:rsidRPr="00537812" w:rsidRDefault="00356E30" w:rsidP="00356E30">
      <w:pPr>
        <w:spacing w:after="200"/>
        <w:rPr>
          <w:rFonts w:eastAsia="Calibri" w:cstheme="minorHAnsi"/>
          <w:sz w:val="24"/>
          <w:szCs w:val="24"/>
        </w:rPr>
      </w:pPr>
      <w:r w:rsidRPr="00537812">
        <w:rPr>
          <w:rFonts w:eastAsia="Calibri" w:cstheme="minorHAnsi"/>
          <w:sz w:val="24"/>
          <w:szCs w:val="24"/>
        </w:rPr>
        <w:t xml:space="preserve">The term ‘dataset’ is defined in section 11(5) of FOIA. </w:t>
      </w:r>
      <w:r w:rsidR="00CD4556">
        <w:rPr>
          <w:rFonts w:eastAsia="Calibri" w:cstheme="minorHAnsi"/>
          <w:sz w:val="24"/>
          <w:szCs w:val="24"/>
        </w:rPr>
        <w:t xml:space="preserve"> </w:t>
      </w:r>
      <w:r w:rsidRPr="00537812">
        <w:rPr>
          <w:rFonts w:eastAsia="Calibri" w:cstheme="minorHAnsi"/>
          <w:sz w:val="24"/>
          <w:szCs w:val="24"/>
        </w:rPr>
        <w:t xml:space="preserve">The terms ‘relevant copyright work’ and ‘specified licence’ are defined in section 19(8) of FOIA. </w:t>
      </w:r>
      <w:r w:rsidR="00CD4556">
        <w:rPr>
          <w:rFonts w:eastAsia="Calibri" w:cstheme="minorHAnsi"/>
          <w:sz w:val="24"/>
          <w:szCs w:val="24"/>
        </w:rPr>
        <w:t xml:space="preserve"> </w:t>
      </w:r>
      <w:r w:rsidRPr="00537812">
        <w:rPr>
          <w:rFonts w:eastAsia="Calibri" w:cstheme="minorHAnsi"/>
          <w:sz w:val="24"/>
          <w:szCs w:val="24"/>
        </w:rPr>
        <w:t xml:space="preserve">The ICO has published </w:t>
      </w:r>
      <w:hyperlink r:id="rId15" w:history="1">
        <w:r w:rsidRPr="00537812">
          <w:rPr>
            <w:rFonts w:eastAsia="Calibri" w:cstheme="minorHAnsi"/>
            <w:color w:val="0000FF"/>
            <w:sz w:val="24"/>
            <w:szCs w:val="24"/>
            <w:u w:val="single"/>
          </w:rPr>
          <w:t>guidance on the dataset provisions in FOIA</w:t>
        </w:r>
        <w:r w:rsidRPr="00DB3742">
          <w:rPr>
            <w:rFonts w:eastAsia="Calibri" w:cstheme="minorHAnsi"/>
            <w:sz w:val="24"/>
            <w:szCs w:val="24"/>
          </w:rPr>
          <w:t>.</w:t>
        </w:r>
      </w:hyperlink>
      <w:r w:rsidRPr="00537812">
        <w:rPr>
          <w:rFonts w:eastAsia="Calibri" w:cstheme="minorHAnsi"/>
          <w:sz w:val="24"/>
          <w:szCs w:val="24"/>
        </w:rPr>
        <w:t xml:space="preserve"> </w:t>
      </w:r>
      <w:r w:rsidR="00CD4556">
        <w:rPr>
          <w:rFonts w:eastAsia="Calibri" w:cstheme="minorHAnsi"/>
          <w:sz w:val="24"/>
          <w:szCs w:val="24"/>
        </w:rPr>
        <w:t xml:space="preserve"> </w:t>
      </w:r>
      <w:r w:rsidRPr="00537812">
        <w:rPr>
          <w:rFonts w:eastAsia="Calibri" w:cstheme="minorHAnsi"/>
          <w:sz w:val="24"/>
          <w:szCs w:val="24"/>
        </w:rPr>
        <w:t>This explains what is meant by “not appropriate” and “capable of re-use”.</w:t>
      </w:r>
      <w:r w:rsidRPr="00537812">
        <w:rPr>
          <w:rFonts w:cstheme="minorHAnsi"/>
          <w:sz w:val="24"/>
          <w:szCs w:val="24"/>
        </w:rPr>
        <w:t xml:space="preserve">  One of the reasons why it may not be appropriate to make a dataset available for re-use might be that the information is covered by </w:t>
      </w:r>
      <w:r w:rsidRPr="00537812">
        <w:rPr>
          <w:rFonts w:cstheme="minorHAnsi"/>
          <w:sz w:val="24"/>
          <w:szCs w:val="24"/>
        </w:rPr>
        <w:lastRenderedPageBreak/>
        <w:t xml:space="preserve">an exemption under FOIA. </w:t>
      </w:r>
      <w:r w:rsidR="00CD4556">
        <w:rPr>
          <w:rFonts w:cstheme="minorHAnsi"/>
          <w:sz w:val="24"/>
          <w:szCs w:val="24"/>
        </w:rPr>
        <w:t xml:space="preserve"> </w:t>
      </w:r>
      <w:r w:rsidR="00CD4556">
        <w:rPr>
          <w:rFonts w:eastAsia="Calibri" w:cstheme="minorHAnsi"/>
          <w:sz w:val="24"/>
          <w:szCs w:val="24"/>
        </w:rPr>
        <w:t>Practices</w:t>
      </w:r>
      <w:r w:rsidRPr="00537812">
        <w:rPr>
          <w:rFonts w:eastAsia="Calibri" w:cstheme="minorHAnsi"/>
          <w:sz w:val="24"/>
          <w:szCs w:val="24"/>
        </w:rPr>
        <w:t xml:space="preserve"> do not have to publish in their publication schemes any information that would be exempt from disclosure in response to a FOIA request</w:t>
      </w:r>
      <w:r w:rsidR="00CD4556">
        <w:rPr>
          <w:rFonts w:eastAsia="Calibri" w:cstheme="minorHAnsi"/>
          <w:sz w:val="24"/>
          <w:szCs w:val="24"/>
        </w:rPr>
        <w:t>,</w:t>
      </w:r>
      <w:r w:rsidRPr="00537812">
        <w:rPr>
          <w:rFonts w:eastAsia="Calibri" w:cstheme="minorHAnsi"/>
          <w:sz w:val="24"/>
          <w:szCs w:val="24"/>
        </w:rPr>
        <w:t xml:space="preserve"> e</w:t>
      </w:r>
      <w:r w:rsidR="00CD4556">
        <w:rPr>
          <w:rFonts w:eastAsia="Calibri" w:cstheme="minorHAnsi"/>
          <w:sz w:val="24"/>
          <w:szCs w:val="24"/>
        </w:rPr>
        <w:t>.</w:t>
      </w:r>
      <w:r w:rsidRPr="00537812">
        <w:rPr>
          <w:rFonts w:eastAsia="Calibri" w:cstheme="minorHAnsi"/>
          <w:sz w:val="24"/>
          <w:szCs w:val="24"/>
        </w:rPr>
        <w:t>g</w:t>
      </w:r>
      <w:r w:rsidR="00CD4556">
        <w:rPr>
          <w:rFonts w:eastAsia="Calibri" w:cstheme="minorHAnsi"/>
          <w:sz w:val="24"/>
          <w:szCs w:val="24"/>
        </w:rPr>
        <w:t>.</w:t>
      </w:r>
      <w:r w:rsidRPr="00537812">
        <w:rPr>
          <w:rFonts w:eastAsia="Calibri" w:cstheme="minorHAnsi"/>
          <w:sz w:val="24"/>
          <w:szCs w:val="24"/>
        </w:rPr>
        <w:t xml:space="preserve"> patient records.</w:t>
      </w:r>
    </w:p>
    <w:p w14:paraId="7A78DD18" w14:textId="77777777" w:rsidR="00356E30" w:rsidRPr="00273668" w:rsidRDefault="00356E30" w:rsidP="009753DD">
      <w:pPr>
        <w:pStyle w:val="Section"/>
      </w:pPr>
      <w:r w:rsidRPr="00273668">
        <w:t>Fees and charging</w:t>
      </w:r>
    </w:p>
    <w:p w14:paraId="09C6EB71" w14:textId="118FF757" w:rsidR="00356E30" w:rsidRPr="00537812" w:rsidRDefault="00356E30" w:rsidP="00356E30">
      <w:pPr>
        <w:ind w:right="-57"/>
        <w:rPr>
          <w:rFonts w:cstheme="minorHAnsi"/>
          <w:sz w:val="24"/>
          <w:szCs w:val="24"/>
        </w:rPr>
      </w:pPr>
      <w:r w:rsidRPr="00537812">
        <w:rPr>
          <w:rFonts w:cstheme="minorHAnsi"/>
          <w:sz w:val="24"/>
          <w:szCs w:val="24"/>
        </w:rPr>
        <w:t>Information available through a publication scheme should be readily available at a low cost or at no cost to the public.</w:t>
      </w:r>
      <w:r w:rsidR="00CD4556">
        <w:rPr>
          <w:rFonts w:cstheme="minorHAnsi"/>
          <w:sz w:val="24"/>
          <w:szCs w:val="24"/>
        </w:rPr>
        <w:t xml:space="preserve"> </w:t>
      </w:r>
      <w:r w:rsidRPr="00537812">
        <w:rPr>
          <w:rFonts w:cstheme="minorHAnsi"/>
          <w:sz w:val="24"/>
          <w:szCs w:val="24"/>
        </w:rPr>
        <w:t xml:space="preserve"> If a </w:t>
      </w:r>
      <w:r w:rsidR="00CD4556">
        <w:rPr>
          <w:rFonts w:cstheme="minorHAnsi"/>
          <w:sz w:val="24"/>
          <w:szCs w:val="24"/>
        </w:rPr>
        <w:t>Practice</w:t>
      </w:r>
      <w:r w:rsidRPr="00537812">
        <w:rPr>
          <w:rFonts w:cstheme="minorHAnsi"/>
          <w:sz w:val="24"/>
          <w:szCs w:val="24"/>
        </w:rPr>
        <w:t xml:space="preserve"> does charge for this information, we expect the charges to be justifiable, clear and kept to a minimum. </w:t>
      </w:r>
    </w:p>
    <w:p w14:paraId="2F42FC22" w14:textId="69C9BEB2" w:rsidR="00356E30" w:rsidRPr="00537812" w:rsidRDefault="00356E30" w:rsidP="00356E30">
      <w:pPr>
        <w:rPr>
          <w:rFonts w:cstheme="minorHAnsi"/>
          <w:sz w:val="24"/>
          <w:szCs w:val="24"/>
        </w:rPr>
      </w:pPr>
      <w:r w:rsidRPr="00537812">
        <w:rPr>
          <w:rFonts w:cstheme="minorHAnsi"/>
          <w:sz w:val="24"/>
          <w:szCs w:val="24"/>
        </w:rPr>
        <w:t xml:space="preserve">Charges may be made for activities such as printing, photocopying and postage as well as information that the </w:t>
      </w:r>
      <w:r w:rsidR="00CD4556">
        <w:rPr>
          <w:rFonts w:cstheme="minorHAnsi"/>
          <w:sz w:val="24"/>
          <w:szCs w:val="24"/>
        </w:rPr>
        <w:t>Practice</w:t>
      </w:r>
      <w:r w:rsidRPr="00537812">
        <w:rPr>
          <w:rFonts w:cstheme="minorHAnsi"/>
          <w:sz w:val="24"/>
          <w:szCs w:val="24"/>
        </w:rPr>
        <w:t xml:space="preserve"> is legally authorised to charge for. </w:t>
      </w:r>
      <w:r w:rsidR="00CD4556">
        <w:rPr>
          <w:rFonts w:cstheme="minorHAnsi"/>
          <w:sz w:val="24"/>
          <w:szCs w:val="24"/>
        </w:rPr>
        <w:t xml:space="preserve"> </w:t>
      </w:r>
      <w:r w:rsidRPr="00537812">
        <w:rPr>
          <w:rFonts w:cstheme="minorHAnsi"/>
          <w:sz w:val="24"/>
          <w:szCs w:val="24"/>
        </w:rPr>
        <w:t xml:space="preserve">Anyone requesting information must be informed of any charge before the information is provided. </w:t>
      </w:r>
      <w:r w:rsidR="00CD4556">
        <w:rPr>
          <w:rFonts w:cstheme="minorHAnsi"/>
          <w:sz w:val="24"/>
          <w:szCs w:val="24"/>
        </w:rPr>
        <w:t xml:space="preserve"> Practices</w:t>
      </w:r>
      <w:r w:rsidRPr="00537812">
        <w:rPr>
          <w:rFonts w:cstheme="minorHAnsi"/>
          <w:sz w:val="24"/>
          <w:szCs w:val="24"/>
        </w:rPr>
        <w:t xml:space="preserve"> may ask for payment before providing the information. </w:t>
      </w:r>
      <w:r w:rsidR="00CD4556">
        <w:rPr>
          <w:rFonts w:cstheme="minorHAnsi"/>
          <w:sz w:val="24"/>
          <w:szCs w:val="24"/>
        </w:rPr>
        <w:t xml:space="preserve"> </w:t>
      </w:r>
      <w:r w:rsidRPr="00537812">
        <w:rPr>
          <w:rFonts w:cstheme="minorHAnsi"/>
          <w:sz w:val="24"/>
          <w:szCs w:val="24"/>
        </w:rPr>
        <w:t xml:space="preserve">Guidance on </w:t>
      </w:r>
      <w:r w:rsidR="00CD4556">
        <w:rPr>
          <w:rFonts w:cstheme="minorHAnsi"/>
          <w:sz w:val="24"/>
          <w:szCs w:val="24"/>
        </w:rPr>
        <w:t>the ICO</w:t>
      </w:r>
      <w:r w:rsidRPr="00537812">
        <w:rPr>
          <w:rFonts w:cstheme="minorHAnsi"/>
          <w:sz w:val="24"/>
          <w:szCs w:val="24"/>
        </w:rPr>
        <w:t xml:space="preserve"> website: </w:t>
      </w:r>
      <w:hyperlink r:id="rId16" w:history="1">
        <w:r w:rsidRPr="00537812">
          <w:rPr>
            <w:rStyle w:val="Hyperlink"/>
            <w:rFonts w:cstheme="minorHAnsi"/>
            <w:sz w:val="24"/>
            <w:szCs w:val="24"/>
          </w:rPr>
          <w:t>Charging for information in a publication scheme</w:t>
        </w:r>
      </w:hyperlink>
      <w:r w:rsidRPr="00537812">
        <w:rPr>
          <w:rFonts w:cstheme="minorHAnsi"/>
          <w:sz w:val="24"/>
          <w:szCs w:val="24"/>
        </w:rPr>
        <w:t xml:space="preserve"> provides more details.</w:t>
      </w:r>
    </w:p>
    <w:p w14:paraId="2C7CA2BE" w14:textId="1FA438C5" w:rsidR="00356E30" w:rsidRPr="00537812" w:rsidRDefault="00356E30" w:rsidP="00356E30">
      <w:pPr>
        <w:rPr>
          <w:rFonts w:eastAsia="Calibri" w:cstheme="minorHAnsi"/>
          <w:sz w:val="24"/>
          <w:szCs w:val="24"/>
        </w:rPr>
      </w:pPr>
      <w:r w:rsidRPr="00537812">
        <w:rPr>
          <w:rFonts w:eastAsia="Calibri" w:cstheme="minorHAnsi"/>
          <w:sz w:val="24"/>
          <w:szCs w:val="24"/>
        </w:rPr>
        <w:t xml:space="preserve">If </w:t>
      </w:r>
      <w:r w:rsidR="00CD4556">
        <w:rPr>
          <w:rFonts w:eastAsia="Calibri" w:cstheme="minorHAnsi"/>
          <w:sz w:val="24"/>
          <w:szCs w:val="24"/>
        </w:rPr>
        <w:t>a Practice</w:t>
      </w:r>
      <w:r w:rsidRPr="00537812">
        <w:rPr>
          <w:rFonts w:eastAsia="Calibri" w:cstheme="minorHAnsi"/>
          <w:sz w:val="24"/>
          <w:szCs w:val="24"/>
        </w:rPr>
        <w:t xml:space="preserve"> charges a fee for licensing the re-use of datasets, they should state in the guide to information how this is calculated and whether the charge is made under the Re-use Fees Regulations or under other legislation. </w:t>
      </w:r>
      <w:r w:rsidR="00CD4556">
        <w:rPr>
          <w:rFonts w:eastAsia="Calibri" w:cstheme="minorHAnsi"/>
          <w:sz w:val="24"/>
          <w:szCs w:val="24"/>
        </w:rPr>
        <w:t xml:space="preserve"> </w:t>
      </w:r>
      <w:r w:rsidRPr="00537812">
        <w:rPr>
          <w:rFonts w:eastAsia="Calibri" w:cstheme="minorHAnsi"/>
          <w:sz w:val="24"/>
          <w:szCs w:val="24"/>
        </w:rPr>
        <w:t xml:space="preserve">The </w:t>
      </w:r>
      <w:r w:rsidR="00CD4556">
        <w:rPr>
          <w:rFonts w:eastAsia="Calibri" w:cstheme="minorHAnsi"/>
          <w:sz w:val="24"/>
          <w:szCs w:val="24"/>
        </w:rPr>
        <w:t>Practice</w:t>
      </w:r>
      <w:r w:rsidRPr="00537812">
        <w:rPr>
          <w:rFonts w:eastAsia="Calibri" w:cstheme="minorHAnsi"/>
          <w:sz w:val="24"/>
          <w:szCs w:val="24"/>
        </w:rPr>
        <w:t xml:space="preserve"> cannot charge a re-use fee if they make the datasets available for re-use under the Open Government Licence.</w:t>
      </w:r>
    </w:p>
    <w:p w14:paraId="447C2CA3" w14:textId="77777777" w:rsidR="00356E30" w:rsidRPr="00C902DC" w:rsidRDefault="00356E30" w:rsidP="009753DD">
      <w:pPr>
        <w:pStyle w:val="Section"/>
      </w:pPr>
      <w:r w:rsidRPr="00C902DC">
        <w:t>FOI requests and the publication scheme</w:t>
      </w:r>
    </w:p>
    <w:p w14:paraId="6AC94C58" w14:textId="1BB1448D" w:rsidR="00356E30" w:rsidRPr="00537812" w:rsidRDefault="00356E30" w:rsidP="00356E30">
      <w:pPr>
        <w:rPr>
          <w:rFonts w:cstheme="minorHAnsi"/>
          <w:b/>
          <w:bCs/>
          <w:sz w:val="24"/>
          <w:szCs w:val="24"/>
        </w:rPr>
      </w:pPr>
      <w:r w:rsidRPr="00537812">
        <w:rPr>
          <w:rFonts w:cstheme="minorHAnsi"/>
          <w:b/>
          <w:bCs/>
          <w:sz w:val="24"/>
          <w:szCs w:val="24"/>
        </w:rPr>
        <w:t xml:space="preserve">Information available from </w:t>
      </w:r>
      <w:r w:rsidR="00D1548E">
        <w:rPr>
          <w:rFonts w:cstheme="minorHAnsi"/>
          <w:b/>
          <w:bCs/>
          <w:sz w:val="24"/>
          <w:szCs w:val="24"/>
        </w:rPr>
        <w:t xml:space="preserve">Walford Mill Medical Centre </w:t>
      </w:r>
      <w:r w:rsidRPr="00537812">
        <w:rPr>
          <w:rFonts w:cstheme="minorHAnsi"/>
          <w:b/>
          <w:bCs/>
          <w:sz w:val="24"/>
          <w:szCs w:val="24"/>
        </w:rPr>
        <w:t>under the Freedom of Information Act model publication scheme.</w:t>
      </w:r>
    </w:p>
    <w:p w14:paraId="4782B1B9" w14:textId="77777777" w:rsidR="00356E30" w:rsidRDefault="00356E30" w:rsidP="00356E30">
      <w:pPr>
        <w:autoSpaceDE w:val="0"/>
        <w:autoSpaceDN w:val="0"/>
        <w:adjustRightInd w:val="0"/>
        <w:ind w:right="1200"/>
        <w:rPr>
          <w:rFonts w:cstheme="minorHAnsi"/>
          <w:color w:val="000000"/>
          <w:sz w:val="24"/>
          <w:szCs w:val="24"/>
        </w:rPr>
      </w:pPr>
      <w:r w:rsidRPr="00DB65FA">
        <w:rPr>
          <w:rFonts w:cstheme="minorHAnsi"/>
          <w:color w:val="000000"/>
          <w:sz w:val="24"/>
          <w:szCs w:val="24"/>
        </w:rPr>
        <w:t xml:space="preserve">Information covered by this scheme is only about the primary medical services we provide under contract to the National Health Service. </w:t>
      </w:r>
    </w:p>
    <w:p w14:paraId="7BE8D374" w14:textId="06B5508E" w:rsidR="00356E30" w:rsidRPr="00537812" w:rsidRDefault="00356E30" w:rsidP="00356E30">
      <w:pPr>
        <w:rPr>
          <w:rFonts w:cstheme="minorHAnsi"/>
          <w:sz w:val="24"/>
          <w:szCs w:val="24"/>
        </w:rPr>
      </w:pPr>
      <w:r w:rsidRPr="00537812">
        <w:rPr>
          <w:rFonts w:cstheme="minorHAnsi"/>
          <w:sz w:val="24"/>
          <w:szCs w:val="24"/>
        </w:rPr>
        <w:t xml:space="preserve">It is important to note that a publication scheme simply sets out the information that is routinely available. </w:t>
      </w:r>
      <w:r w:rsidR="00CD4556">
        <w:rPr>
          <w:rFonts w:cstheme="minorHAnsi"/>
          <w:sz w:val="24"/>
          <w:szCs w:val="24"/>
        </w:rPr>
        <w:t xml:space="preserve"> </w:t>
      </w:r>
      <w:r w:rsidRPr="00537812">
        <w:rPr>
          <w:rFonts w:cstheme="minorHAnsi"/>
          <w:sz w:val="24"/>
          <w:szCs w:val="24"/>
        </w:rPr>
        <w:t xml:space="preserve">Information that is not listed in the guide to information can still be requested and should be made available unless it can be legitimately withheld.  </w:t>
      </w:r>
    </w:p>
    <w:p w14:paraId="2E0513C2" w14:textId="3B697A5E" w:rsidR="00356E30" w:rsidRDefault="00356E30" w:rsidP="00356E30">
      <w:pPr>
        <w:autoSpaceDE w:val="0"/>
        <w:autoSpaceDN w:val="0"/>
        <w:adjustRightInd w:val="0"/>
        <w:ind w:right="1200"/>
        <w:rPr>
          <w:rFonts w:cstheme="minorHAnsi"/>
          <w:color w:val="000000"/>
          <w:sz w:val="24"/>
          <w:szCs w:val="24"/>
        </w:rPr>
      </w:pPr>
    </w:p>
    <w:p w14:paraId="58884C8D" w14:textId="7FEDA658" w:rsidR="00CD4556" w:rsidRDefault="00CD4556" w:rsidP="00356E30">
      <w:pPr>
        <w:autoSpaceDE w:val="0"/>
        <w:autoSpaceDN w:val="0"/>
        <w:adjustRightInd w:val="0"/>
        <w:ind w:right="1200"/>
        <w:rPr>
          <w:rFonts w:cstheme="minorHAnsi"/>
          <w:color w:val="000000"/>
          <w:sz w:val="24"/>
          <w:szCs w:val="24"/>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5"/>
        <w:gridCol w:w="3714"/>
        <w:gridCol w:w="1843"/>
      </w:tblGrid>
      <w:tr w:rsidR="00356E30" w:rsidRPr="00DB65FA" w14:paraId="397A3E35" w14:textId="77777777" w:rsidTr="00544339">
        <w:trPr>
          <w:trHeight w:val="958"/>
        </w:trPr>
        <w:tc>
          <w:tcPr>
            <w:tcW w:w="8755" w:type="dxa"/>
            <w:shd w:val="clear" w:color="auto" w:fill="8EAADB" w:themeFill="accent1" w:themeFillTint="99"/>
          </w:tcPr>
          <w:p w14:paraId="13D3D4D1" w14:textId="77777777" w:rsidR="00356E30" w:rsidRPr="00DB65FA" w:rsidRDefault="00356E30" w:rsidP="00544339">
            <w:pPr>
              <w:rPr>
                <w:rFonts w:cstheme="minorHAnsi"/>
                <w:sz w:val="24"/>
                <w:szCs w:val="24"/>
              </w:rPr>
            </w:pPr>
            <w:r w:rsidRPr="00DB65FA">
              <w:rPr>
                <w:rFonts w:cstheme="minorHAnsi"/>
                <w:b/>
                <w:sz w:val="24"/>
                <w:szCs w:val="24"/>
              </w:rPr>
              <w:lastRenderedPageBreak/>
              <w:t>Information to be published</w:t>
            </w:r>
          </w:p>
        </w:tc>
        <w:tc>
          <w:tcPr>
            <w:tcW w:w="3714" w:type="dxa"/>
            <w:shd w:val="clear" w:color="auto" w:fill="8EAADB" w:themeFill="accent1" w:themeFillTint="99"/>
          </w:tcPr>
          <w:p w14:paraId="40981983" w14:textId="77777777" w:rsidR="00356E30" w:rsidRPr="00DB65FA" w:rsidRDefault="00356E30" w:rsidP="00544339">
            <w:pPr>
              <w:rPr>
                <w:rFonts w:cstheme="minorHAnsi"/>
                <w:b/>
                <w:sz w:val="24"/>
                <w:szCs w:val="24"/>
              </w:rPr>
            </w:pPr>
            <w:r w:rsidRPr="00DB65FA">
              <w:rPr>
                <w:rFonts w:cstheme="minorHAnsi"/>
                <w:b/>
                <w:sz w:val="24"/>
                <w:szCs w:val="24"/>
              </w:rPr>
              <w:t>How the information can be obtained</w:t>
            </w:r>
          </w:p>
          <w:p w14:paraId="26178A49" w14:textId="77777777" w:rsidR="00356E30" w:rsidRPr="00DB65FA" w:rsidRDefault="00356E30" w:rsidP="00544339">
            <w:pPr>
              <w:rPr>
                <w:rFonts w:cstheme="minorHAnsi"/>
                <w:sz w:val="24"/>
                <w:szCs w:val="24"/>
              </w:rPr>
            </w:pPr>
            <w:r w:rsidRPr="00DB65FA">
              <w:rPr>
                <w:rFonts w:cstheme="minorHAnsi"/>
                <w:sz w:val="24"/>
                <w:szCs w:val="24"/>
              </w:rPr>
              <w:t>(e.g. hard copy, website)</w:t>
            </w:r>
          </w:p>
        </w:tc>
        <w:tc>
          <w:tcPr>
            <w:tcW w:w="1843" w:type="dxa"/>
            <w:shd w:val="clear" w:color="auto" w:fill="8EAADB" w:themeFill="accent1" w:themeFillTint="99"/>
          </w:tcPr>
          <w:p w14:paraId="7020E83C" w14:textId="77777777" w:rsidR="00356E30" w:rsidRPr="00DB65FA" w:rsidRDefault="00356E30" w:rsidP="00544339">
            <w:pPr>
              <w:rPr>
                <w:rFonts w:cstheme="minorHAnsi"/>
                <w:sz w:val="24"/>
                <w:szCs w:val="24"/>
              </w:rPr>
            </w:pPr>
            <w:r w:rsidRPr="00DB65FA">
              <w:rPr>
                <w:rFonts w:cstheme="minorHAnsi"/>
                <w:b/>
                <w:sz w:val="24"/>
                <w:szCs w:val="24"/>
              </w:rPr>
              <w:t>Cost</w:t>
            </w:r>
          </w:p>
        </w:tc>
      </w:tr>
      <w:tr w:rsidR="00356E30" w:rsidRPr="00DB65FA" w14:paraId="51464686" w14:textId="77777777" w:rsidTr="00544339">
        <w:trPr>
          <w:trHeight w:val="1493"/>
        </w:trPr>
        <w:tc>
          <w:tcPr>
            <w:tcW w:w="14312" w:type="dxa"/>
            <w:gridSpan w:val="3"/>
            <w:shd w:val="clear" w:color="auto" w:fill="D9E2F3" w:themeFill="accent1" w:themeFillTint="33"/>
          </w:tcPr>
          <w:p w14:paraId="21B14D33" w14:textId="77777777" w:rsidR="00356E30" w:rsidRPr="00DB65FA" w:rsidRDefault="00356E30" w:rsidP="00544339">
            <w:pPr>
              <w:rPr>
                <w:rFonts w:cstheme="minorHAnsi"/>
                <w:b/>
                <w:sz w:val="24"/>
                <w:szCs w:val="24"/>
              </w:rPr>
            </w:pPr>
            <w:r w:rsidRPr="00DB65FA">
              <w:rPr>
                <w:rFonts w:cstheme="minorHAnsi"/>
                <w:b/>
                <w:sz w:val="24"/>
                <w:szCs w:val="24"/>
              </w:rPr>
              <w:t>Class 1 - Who we are and what we do</w:t>
            </w:r>
          </w:p>
          <w:p w14:paraId="29EB5E1E" w14:textId="77777777" w:rsidR="00356E30" w:rsidRDefault="00356E30" w:rsidP="00544339">
            <w:pPr>
              <w:rPr>
                <w:rFonts w:cstheme="minorHAnsi"/>
                <w:sz w:val="24"/>
                <w:szCs w:val="24"/>
              </w:rPr>
            </w:pPr>
            <w:r w:rsidRPr="00DB65FA">
              <w:rPr>
                <w:rFonts w:cstheme="minorHAnsi"/>
                <w:sz w:val="24"/>
                <w:szCs w:val="24"/>
              </w:rPr>
              <w:t>Organisational information, structures, locations and contacts</w:t>
            </w:r>
            <w:r>
              <w:rPr>
                <w:rFonts w:cstheme="minorHAnsi"/>
                <w:sz w:val="24"/>
                <w:szCs w:val="24"/>
              </w:rPr>
              <w:t xml:space="preserve"> </w:t>
            </w:r>
          </w:p>
          <w:p w14:paraId="45866E67" w14:textId="77777777" w:rsidR="00356E30" w:rsidRPr="00DB65FA" w:rsidRDefault="00356E30" w:rsidP="00544339">
            <w:pPr>
              <w:rPr>
                <w:rFonts w:cstheme="minorHAnsi"/>
                <w:sz w:val="24"/>
                <w:szCs w:val="24"/>
              </w:rPr>
            </w:pPr>
            <w:r w:rsidRPr="00537812">
              <w:rPr>
                <w:rFonts w:cstheme="minorHAnsi"/>
                <w:i/>
                <w:iCs/>
                <w:sz w:val="24"/>
                <w:szCs w:val="24"/>
              </w:rPr>
              <w:t>This will be current information only</w:t>
            </w:r>
            <w:r w:rsidRPr="00537812">
              <w:rPr>
                <w:rFonts w:cstheme="minorHAnsi"/>
                <w:i/>
                <w:iCs/>
                <w:sz w:val="24"/>
                <w:szCs w:val="24"/>
              </w:rPr>
              <w:tab/>
            </w:r>
            <w:r w:rsidRPr="00537812">
              <w:rPr>
                <w:rFonts w:cstheme="minorHAnsi"/>
                <w:i/>
                <w:iCs/>
                <w:sz w:val="24"/>
                <w:szCs w:val="24"/>
              </w:rPr>
              <w:tab/>
            </w:r>
          </w:p>
        </w:tc>
      </w:tr>
      <w:tr w:rsidR="00356E30" w:rsidRPr="00DB65FA" w14:paraId="7A531C5F" w14:textId="77777777" w:rsidTr="00544339">
        <w:trPr>
          <w:trHeight w:val="335"/>
        </w:trPr>
        <w:tc>
          <w:tcPr>
            <w:tcW w:w="8755" w:type="dxa"/>
            <w:shd w:val="clear" w:color="auto" w:fill="auto"/>
          </w:tcPr>
          <w:p w14:paraId="100C6C1B" w14:textId="2355D3D9" w:rsidR="00356E30" w:rsidRPr="00DB65FA" w:rsidRDefault="00356E30" w:rsidP="00544339">
            <w:pPr>
              <w:rPr>
                <w:rFonts w:cstheme="minorHAnsi"/>
                <w:sz w:val="24"/>
                <w:szCs w:val="24"/>
              </w:rPr>
            </w:pPr>
            <w:r w:rsidRPr="00DB65FA">
              <w:rPr>
                <w:rFonts w:cstheme="minorHAnsi"/>
                <w:sz w:val="24"/>
                <w:szCs w:val="24"/>
              </w:rPr>
              <w:t xml:space="preserve">Doctors in the </w:t>
            </w:r>
            <w:r w:rsidR="00CD4556">
              <w:rPr>
                <w:rFonts w:cstheme="minorHAnsi"/>
                <w:sz w:val="24"/>
                <w:szCs w:val="24"/>
              </w:rPr>
              <w:t>P</w:t>
            </w:r>
            <w:r w:rsidRPr="00DB65FA">
              <w:rPr>
                <w:rFonts w:cstheme="minorHAnsi"/>
                <w:sz w:val="24"/>
                <w:szCs w:val="24"/>
              </w:rPr>
              <w:t>ractice</w:t>
            </w:r>
          </w:p>
        </w:tc>
        <w:tc>
          <w:tcPr>
            <w:tcW w:w="3714" w:type="dxa"/>
            <w:shd w:val="clear" w:color="auto" w:fill="auto"/>
          </w:tcPr>
          <w:p w14:paraId="479C1117" w14:textId="21AC7A9B" w:rsidR="00356E30" w:rsidRPr="00DB65FA" w:rsidRDefault="00D1548E" w:rsidP="00544339">
            <w:pPr>
              <w:rPr>
                <w:rFonts w:cstheme="minorHAnsi"/>
                <w:sz w:val="24"/>
                <w:szCs w:val="24"/>
              </w:rPr>
            </w:pPr>
            <w:r>
              <w:rPr>
                <w:rFonts w:cstheme="minorHAnsi"/>
                <w:sz w:val="24"/>
                <w:szCs w:val="24"/>
              </w:rPr>
              <w:t xml:space="preserve">Website </w:t>
            </w:r>
          </w:p>
        </w:tc>
        <w:tc>
          <w:tcPr>
            <w:tcW w:w="1843" w:type="dxa"/>
            <w:shd w:val="clear" w:color="auto" w:fill="auto"/>
          </w:tcPr>
          <w:p w14:paraId="49486B8F" w14:textId="01CF22F0" w:rsidR="00356E30" w:rsidRPr="00DB65FA" w:rsidRDefault="00D1548E" w:rsidP="00544339">
            <w:pPr>
              <w:rPr>
                <w:rFonts w:cstheme="minorHAnsi"/>
                <w:sz w:val="24"/>
                <w:szCs w:val="24"/>
              </w:rPr>
            </w:pPr>
            <w:r>
              <w:rPr>
                <w:rFonts w:cstheme="minorHAnsi"/>
                <w:sz w:val="24"/>
                <w:szCs w:val="24"/>
              </w:rPr>
              <w:t>0.00</w:t>
            </w:r>
          </w:p>
        </w:tc>
      </w:tr>
      <w:tr w:rsidR="00356E30" w:rsidRPr="00DB65FA" w14:paraId="7603B936" w14:textId="77777777" w:rsidTr="00544339">
        <w:trPr>
          <w:trHeight w:val="538"/>
        </w:trPr>
        <w:tc>
          <w:tcPr>
            <w:tcW w:w="8755" w:type="dxa"/>
            <w:shd w:val="clear" w:color="auto" w:fill="auto"/>
          </w:tcPr>
          <w:p w14:paraId="61745707" w14:textId="2A0D00AB" w:rsidR="00356E30" w:rsidRPr="00DB65FA" w:rsidRDefault="00356E30" w:rsidP="00544339">
            <w:pPr>
              <w:rPr>
                <w:rFonts w:cstheme="minorHAnsi"/>
                <w:sz w:val="24"/>
                <w:szCs w:val="24"/>
              </w:rPr>
            </w:pPr>
            <w:r w:rsidRPr="00DB65FA">
              <w:rPr>
                <w:rFonts w:cstheme="minorHAnsi"/>
                <w:sz w:val="24"/>
                <w:szCs w:val="24"/>
              </w:rPr>
              <w:t xml:space="preserve">Contact details for the </w:t>
            </w:r>
            <w:r w:rsidR="00CD4556">
              <w:rPr>
                <w:rFonts w:cstheme="minorHAnsi"/>
                <w:sz w:val="24"/>
                <w:szCs w:val="24"/>
              </w:rPr>
              <w:t>P</w:t>
            </w:r>
            <w:r w:rsidRPr="00DB65FA">
              <w:rPr>
                <w:rFonts w:cstheme="minorHAnsi"/>
                <w:sz w:val="24"/>
                <w:szCs w:val="24"/>
              </w:rPr>
              <w:t xml:space="preserve">ractice (named contacts where possible with telephone number and email address </w:t>
            </w:r>
            <w:r w:rsidR="00CD4556">
              <w:rPr>
                <w:rFonts w:cstheme="minorHAnsi"/>
                <w:sz w:val="24"/>
                <w:szCs w:val="24"/>
              </w:rPr>
              <w:t>[</w:t>
            </w:r>
            <w:r w:rsidRPr="00DB65FA">
              <w:rPr>
                <w:rFonts w:cstheme="minorHAnsi"/>
                <w:sz w:val="24"/>
                <w:szCs w:val="24"/>
              </w:rPr>
              <w:t>if used</w:t>
            </w:r>
            <w:r w:rsidR="00CD4556">
              <w:rPr>
                <w:rFonts w:cstheme="minorHAnsi"/>
                <w:sz w:val="24"/>
                <w:szCs w:val="24"/>
              </w:rPr>
              <w:t>]</w:t>
            </w:r>
            <w:r w:rsidRPr="00DB65FA">
              <w:rPr>
                <w:rFonts w:cstheme="minorHAnsi"/>
                <w:sz w:val="24"/>
                <w:szCs w:val="24"/>
              </w:rPr>
              <w:t>)</w:t>
            </w:r>
          </w:p>
        </w:tc>
        <w:tc>
          <w:tcPr>
            <w:tcW w:w="3714" w:type="dxa"/>
            <w:shd w:val="clear" w:color="auto" w:fill="auto"/>
          </w:tcPr>
          <w:p w14:paraId="473BA4BF" w14:textId="71697CE9" w:rsidR="00356E30" w:rsidRPr="00DB65FA" w:rsidRDefault="00D1548E" w:rsidP="00544339">
            <w:pPr>
              <w:rPr>
                <w:rFonts w:cstheme="minorHAnsi"/>
                <w:sz w:val="24"/>
                <w:szCs w:val="24"/>
              </w:rPr>
            </w:pPr>
            <w:r>
              <w:rPr>
                <w:rFonts w:cstheme="minorHAnsi"/>
                <w:sz w:val="24"/>
                <w:szCs w:val="24"/>
              </w:rPr>
              <w:t xml:space="preserve">Website </w:t>
            </w:r>
          </w:p>
        </w:tc>
        <w:tc>
          <w:tcPr>
            <w:tcW w:w="1843" w:type="dxa"/>
            <w:shd w:val="clear" w:color="auto" w:fill="auto"/>
          </w:tcPr>
          <w:p w14:paraId="562C213B" w14:textId="654526D3" w:rsidR="00356E30" w:rsidRPr="00DB65FA" w:rsidRDefault="00D1548E" w:rsidP="00544339">
            <w:pPr>
              <w:rPr>
                <w:rFonts w:cstheme="minorHAnsi"/>
                <w:sz w:val="24"/>
                <w:szCs w:val="24"/>
              </w:rPr>
            </w:pPr>
            <w:r>
              <w:rPr>
                <w:rFonts w:cstheme="minorHAnsi"/>
                <w:sz w:val="24"/>
                <w:szCs w:val="24"/>
              </w:rPr>
              <w:t>0.00</w:t>
            </w:r>
          </w:p>
        </w:tc>
      </w:tr>
      <w:tr w:rsidR="00356E30" w:rsidRPr="00DB65FA" w14:paraId="37EE93DF" w14:textId="77777777" w:rsidTr="00544339">
        <w:trPr>
          <w:trHeight w:val="325"/>
        </w:trPr>
        <w:tc>
          <w:tcPr>
            <w:tcW w:w="8755" w:type="dxa"/>
            <w:shd w:val="clear" w:color="auto" w:fill="auto"/>
          </w:tcPr>
          <w:p w14:paraId="07E53239" w14:textId="77777777" w:rsidR="00356E30" w:rsidRPr="00DB65FA" w:rsidRDefault="00356E30" w:rsidP="00544339">
            <w:pPr>
              <w:rPr>
                <w:rFonts w:cstheme="minorHAnsi"/>
                <w:sz w:val="24"/>
                <w:szCs w:val="24"/>
              </w:rPr>
            </w:pPr>
            <w:r w:rsidRPr="00DB65FA">
              <w:rPr>
                <w:rFonts w:cstheme="minorHAnsi"/>
                <w:sz w:val="24"/>
                <w:szCs w:val="24"/>
              </w:rPr>
              <w:t>Opening hours</w:t>
            </w:r>
          </w:p>
        </w:tc>
        <w:tc>
          <w:tcPr>
            <w:tcW w:w="3714" w:type="dxa"/>
            <w:shd w:val="clear" w:color="auto" w:fill="auto"/>
          </w:tcPr>
          <w:p w14:paraId="7EC473DE" w14:textId="428CC25B" w:rsidR="00356E30" w:rsidRPr="00DB65FA" w:rsidRDefault="00D1548E" w:rsidP="00544339">
            <w:pPr>
              <w:rPr>
                <w:rFonts w:cstheme="minorHAnsi"/>
                <w:sz w:val="24"/>
                <w:szCs w:val="24"/>
              </w:rPr>
            </w:pPr>
            <w:r>
              <w:rPr>
                <w:rFonts w:cstheme="minorHAnsi"/>
                <w:sz w:val="24"/>
                <w:szCs w:val="24"/>
              </w:rPr>
              <w:t xml:space="preserve">Website </w:t>
            </w:r>
          </w:p>
        </w:tc>
        <w:tc>
          <w:tcPr>
            <w:tcW w:w="1843" w:type="dxa"/>
            <w:shd w:val="clear" w:color="auto" w:fill="auto"/>
          </w:tcPr>
          <w:p w14:paraId="519E1092" w14:textId="2055E0E1" w:rsidR="00356E30" w:rsidRPr="00DB65FA" w:rsidRDefault="00D1548E" w:rsidP="00544339">
            <w:pPr>
              <w:rPr>
                <w:rFonts w:cstheme="minorHAnsi"/>
                <w:sz w:val="24"/>
                <w:szCs w:val="24"/>
              </w:rPr>
            </w:pPr>
            <w:r>
              <w:rPr>
                <w:rFonts w:cstheme="minorHAnsi"/>
                <w:sz w:val="24"/>
                <w:szCs w:val="24"/>
              </w:rPr>
              <w:t>0.00</w:t>
            </w:r>
          </w:p>
        </w:tc>
      </w:tr>
      <w:tr w:rsidR="00356E30" w:rsidRPr="00DB65FA" w14:paraId="43F92BAB" w14:textId="77777777" w:rsidTr="00544339">
        <w:trPr>
          <w:trHeight w:val="270"/>
        </w:trPr>
        <w:tc>
          <w:tcPr>
            <w:tcW w:w="8755" w:type="dxa"/>
            <w:shd w:val="clear" w:color="auto" w:fill="auto"/>
          </w:tcPr>
          <w:p w14:paraId="56AB9BE4" w14:textId="77777777" w:rsidR="00356E30" w:rsidRPr="00DB65FA" w:rsidRDefault="00356E30" w:rsidP="00544339">
            <w:pPr>
              <w:rPr>
                <w:rFonts w:cstheme="minorHAnsi"/>
                <w:sz w:val="24"/>
                <w:szCs w:val="24"/>
              </w:rPr>
            </w:pPr>
            <w:r w:rsidRPr="00DB65FA">
              <w:rPr>
                <w:rFonts w:cstheme="minorHAnsi"/>
                <w:sz w:val="24"/>
                <w:szCs w:val="24"/>
              </w:rPr>
              <w:t>Other staffing details</w:t>
            </w:r>
          </w:p>
        </w:tc>
        <w:tc>
          <w:tcPr>
            <w:tcW w:w="3714" w:type="dxa"/>
            <w:shd w:val="clear" w:color="auto" w:fill="auto"/>
          </w:tcPr>
          <w:p w14:paraId="1088576B" w14:textId="24433654" w:rsidR="00356E30" w:rsidRPr="00DB65FA" w:rsidRDefault="00D1548E" w:rsidP="00544339">
            <w:pPr>
              <w:rPr>
                <w:rFonts w:cstheme="minorHAnsi"/>
                <w:sz w:val="24"/>
                <w:szCs w:val="24"/>
              </w:rPr>
            </w:pPr>
            <w:r>
              <w:rPr>
                <w:rFonts w:cstheme="minorHAnsi"/>
                <w:sz w:val="24"/>
                <w:szCs w:val="24"/>
              </w:rPr>
              <w:t>Website</w:t>
            </w:r>
          </w:p>
        </w:tc>
        <w:tc>
          <w:tcPr>
            <w:tcW w:w="1843" w:type="dxa"/>
            <w:shd w:val="clear" w:color="auto" w:fill="auto"/>
          </w:tcPr>
          <w:p w14:paraId="598E5253" w14:textId="7DD74CAF" w:rsidR="00356E30" w:rsidRPr="00DB65FA" w:rsidRDefault="00D1548E" w:rsidP="00544339">
            <w:pPr>
              <w:rPr>
                <w:rFonts w:cstheme="minorHAnsi"/>
                <w:sz w:val="24"/>
                <w:szCs w:val="24"/>
              </w:rPr>
            </w:pPr>
            <w:r>
              <w:rPr>
                <w:rFonts w:cstheme="minorHAnsi"/>
                <w:sz w:val="24"/>
                <w:szCs w:val="24"/>
              </w:rPr>
              <w:t>0.00</w:t>
            </w:r>
          </w:p>
        </w:tc>
      </w:tr>
      <w:tr w:rsidR="00356E30" w:rsidRPr="00DB65FA" w14:paraId="5302ABAB" w14:textId="77777777" w:rsidTr="00544339">
        <w:trPr>
          <w:trHeight w:val="270"/>
        </w:trPr>
        <w:tc>
          <w:tcPr>
            <w:tcW w:w="8755" w:type="dxa"/>
            <w:shd w:val="clear" w:color="auto" w:fill="auto"/>
          </w:tcPr>
          <w:p w14:paraId="490D2014" w14:textId="4D429EA6" w:rsidR="00356E30" w:rsidRPr="00DB65FA" w:rsidRDefault="00356E30" w:rsidP="00544339">
            <w:pPr>
              <w:rPr>
                <w:rFonts w:cstheme="minorHAnsi"/>
                <w:sz w:val="24"/>
                <w:szCs w:val="24"/>
              </w:rPr>
            </w:pPr>
            <w:r w:rsidRPr="00DB65FA">
              <w:rPr>
                <w:rFonts w:cstheme="minorHAnsi"/>
                <w:sz w:val="24"/>
                <w:szCs w:val="24"/>
              </w:rPr>
              <w:t xml:space="preserve">Meetings specifically with pharmaceutical companies and other medical suppliers.  </w:t>
            </w:r>
            <w:r w:rsidR="00CD4556">
              <w:rPr>
                <w:rFonts w:cstheme="minorHAnsi"/>
                <w:sz w:val="24"/>
                <w:szCs w:val="24"/>
              </w:rPr>
              <w:t>A</w:t>
            </w:r>
            <w:r w:rsidRPr="00DB65FA">
              <w:rPr>
                <w:rFonts w:cstheme="minorHAnsi"/>
                <w:sz w:val="24"/>
                <w:szCs w:val="24"/>
              </w:rPr>
              <w:t xml:space="preserve">s a minimum that this information should include the name of the </w:t>
            </w:r>
            <w:r w:rsidR="00CD4556">
              <w:rPr>
                <w:rFonts w:cstheme="minorHAnsi"/>
                <w:sz w:val="24"/>
                <w:szCs w:val="24"/>
              </w:rPr>
              <w:t>company</w:t>
            </w:r>
            <w:r w:rsidRPr="00DB65FA">
              <w:rPr>
                <w:rFonts w:cstheme="minorHAnsi"/>
                <w:sz w:val="24"/>
                <w:szCs w:val="24"/>
              </w:rPr>
              <w:t xml:space="preserve">, the date and, if appropriate, the name of the member(s) of staff attending (if recorded), together with a general indication of the category of meeting, for example marketing or promotion. </w:t>
            </w:r>
            <w:r w:rsidR="00CD4556">
              <w:rPr>
                <w:rFonts w:cstheme="minorHAnsi"/>
                <w:sz w:val="24"/>
                <w:szCs w:val="24"/>
              </w:rPr>
              <w:t xml:space="preserve"> </w:t>
            </w:r>
            <w:r w:rsidRPr="00DB65FA">
              <w:rPr>
                <w:rFonts w:cstheme="minorHAnsi"/>
                <w:sz w:val="24"/>
                <w:szCs w:val="24"/>
              </w:rPr>
              <w:t>The names of staff attending should include any senior managers and any medically qualified staff if this information is recorded.</w:t>
            </w:r>
          </w:p>
        </w:tc>
        <w:tc>
          <w:tcPr>
            <w:tcW w:w="3714" w:type="dxa"/>
            <w:shd w:val="clear" w:color="auto" w:fill="auto"/>
          </w:tcPr>
          <w:p w14:paraId="17947AC2" w14:textId="15E45C92" w:rsidR="00356E30" w:rsidRPr="00DB65FA" w:rsidRDefault="00D1548E" w:rsidP="00544339">
            <w:pPr>
              <w:rPr>
                <w:rFonts w:cstheme="minorHAnsi"/>
                <w:sz w:val="24"/>
                <w:szCs w:val="24"/>
              </w:rPr>
            </w:pPr>
            <w:r>
              <w:rPr>
                <w:rFonts w:cstheme="minorHAnsi"/>
                <w:sz w:val="24"/>
                <w:szCs w:val="24"/>
              </w:rPr>
              <w:t xml:space="preserve">Via email to </w:t>
            </w:r>
            <w:hyperlink r:id="rId17" w:history="1">
              <w:r w:rsidRPr="000764A2">
                <w:rPr>
                  <w:rStyle w:val="Hyperlink"/>
                  <w:rFonts w:cstheme="minorHAnsi"/>
                  <w:sz w:val="24"/>
                  <w:szCs w:val="24"/>
                </w:rPr>
                <w:t>walford.mill@nhs.net</w:t>
              </w:r>
            </w:hyperlink>
            <w:r>
              <w:rPr>
                <w:rFonts w:cstheme="minorHAnsi"/>
                <w:sz w:val="24"/>
                <w:szCs w:val="24"/>
              </w:rPr>
              <w:t xml:space="preserve"> </w:t>
            </w:r>
          </w:p>
        </w:tc>
        <w:tc>
          <w:tcPr>
            <w:tcW w:w="1843" w:type="dxa"/>
            <w:shd w:val="clear" w:color="auto" w:fill="auto"/>
          </w:tcPr>
          <w:p w14:paraId="36360FA3" w14:textId="1B74BEED" w:rsidR="00356E30" w:rsidRPr="00DB65FA" w:rsidRDefault="00D1548E" w:rsidP="00544339">
            <w:pPr>
              <w:rPr>
                <w:rFonts w:cstheme="minorHAnsi"/>
                <w:sz w:val="24"/>
                <w:szCs w:val="24"/>
              </w:rPr>
            </w:pPr>
            <w:r>
              <w:rPr>
                <w:rFonts w:cstheme="minorHAnsi"/>
                <w:sz w:val="24"/>
                <w:szCs w:val="24"/>
              </w:rPr>
              <w:t>0.00</w:t>
            </w:r>
          </w:p>
        </w:tc>
      </w:tr>
      <w:tr w:rsidR="00356E30" w:rsidRPr="00DB65FA" w14:paraId="1E884F48" w14:textId="77777777" w:rsidTr="00544339">
        <w:trPr>
          <w:trHeight w:val="1515"/>
        </w:trPr>
        <w:tc>
          <w:tcPr>
            <w:tcW w:w="14312" w:type="dxa"/>
            <w:gridSpan w:val="3"/>
            <w:shd w:val="clear" w:color="auto" w:fill="D9E2F3" w:themeFill="accent1" w:themeFillTint="33"/>
          </w:tcPr>
          <w:p w14:paraId="28809597" w14:textId="77777777" w:rsidR="00356E30" w:rsidRPr="00DB65FA" w:rsidRDefault="00356E30" w:rsidP="00544339">
            <w:pPr>
              <w:rPr>
                <w:rFonts w:cstheme="minorHAnsi"/>
                <w:b/>
                <w:sz w:val="24"/>
                <w:szCs w:val="24"/>
              </w:rPr>
            </w:pPr>
            <w:r w:rsidRPr="00DB65FA">
              <w:rPr>
                <w:rFonts w:cstheme="minorHAnsi"/>
                <w:b/>
                <w:sz w:val="24"/>
                <w:szCs w:val="24"/>
              </w:rPr>
              <w:t>Class 2 – What we spend and how we spend it</w:t>
            </w:r>
          </w:p>
          <w:p w14:paraId="67F78CDB" w14:textId="77777777" w:rsidR="00356E30" w:rsidRPr="00DB65FA" w:rsidRDefault="00356E30" w:rsidP="00544339">
            <w:pPr>
              <w:rPr>
                <w:rFonts w:cstheme="minorHAnsi"/>
                <w:sz w:val="24"/>
                <w:szCs w:val="24"/>
              </w:rPr>
            </w:pPr>
            <w:r w:rsidRPr="00DB65FA">
              <w:rPr>
                <w:rFonts w:cstheme="minorHAnsi"/>
                <w:sz w:val="24"/>
                <w:szCs w:val="24"/>
              </w:rPr>
              <w:t>Financial information relating to projected and actual income and expenditure, procurement, contracts and financial audit</w:t>
            </w:r>
          </w:p>
          <w:p w14:paraId="1EE3A6F2" w14:textId="77777777" w:rsidR="00356E30" w:rsidRPr="00DB65FA" w:rsidRDefault="00356E30" w:rsidP="00544339">
            <w:pPr>
              <w:rPr>
                <w:rFonts w:cstheme="minorHAnsi"/>
                <w:sz w:val="24"/>
                <w:szCs w:val="24"/>
              </w:rPr>
            </w:pPr>
            <w:r w:rsidRPr="00F85D2F">
              <w:rPr>
                <w:rFonts w:cstheme="minorHAnsi"/>
                <w:i/>
                <w:iCs/>
                <w:sz w:val="24"/>
                <w:szCs w:val="24"/>
              </w:rPr>
              <w:t>Current and previous financial year as a minimum</w:t>
            </w:r>
          </w:p>
        </w:tc>
      </w:tr>
      <w:tr w:rsidR="00356E30" w:rsidRPr="00DB65FA" w14:paraId="05756C13" w14:textId="77777777" w:rsidTr="00544339">
        <w:trPr>
          <w:trHeight w:val="305"/>
        </w:trPr>
        <w:tc>
          <w:tcPr>
            <w:tcW w:w="8755" w:type="dxa"/>
            <w:shd w:val="clear" w:color="auto" w:fill="auto"/>
          </w:tcPr>
          <w:p w14:paraId="6E564DED" w14:textId="77E4454D" w:rsidR="00356E30" w:rsidRPr="00DB65FA" w:rsidRDefault="00356E30" w:rsidP="00544339">
            <w:pPr>
              <w:rPr>
                <w:rFonts w:cstheme="minorHAnsi"/>
                <w:sz w:val="24"/>
                <w:szCs w:val="24"/>
              </w:rPr>
            </w:pPr>
            <w:r w:rsidRPr="00DB65FA">
              <w:rPr>
                <w:rFonts w:cstheme="minorHAnsi"/>
                <w:sz w:val="24"/>
                <w:szCs w:val="24"/>
              </w:rPr>
              <w:lastRenderedPageBreak/>
              <w:t xml:space="preserve">Details on NHS/HSC funding received by the </w:t>
            </w:r>
            <w:r w:rsidR="005E6F12">
              <w:rPr>
                <w:rFonts w:cstheme="minorHAnsi"/>
                <w:sz w:val="24"/>
                <w:szCs w:val="24"/>
              </w:rPr>
              <w:t>P</w:t>
            </w:r>
            <w:r w:rsidRPr="00DB65FA">
              <w:rPr>
                <w:rFonts w:cstheme="minorHAnsi"/>
                <w:sz w:val="24"/>
                <w:szCs w:val="24"/>
              </w:rPr>
              <w:t>ractice.</w:t>
            </w:r>
          </w:p>
          <w:p w14:paraId="7FF875F4" w14:textId="115CBE1D" w:rsidR="00356E30" w:rsidRPr="00DB65FA" w:rsidRDefault="005E6F12" w:rsidP="00544339">
            <w:pPr>
              <w:rPr>
                <w:rFonts w:cstheme="minorHAnsi"/>
                <w:sz w:val="24"/>
                <w:szCs w:val="24"/>
              </w:rPr>
            </w:pPr>
            <w:r>
              <w:rPr>
                <w:rFonts w:cstheme="minorHAnsi"/>
                <w:sz w:val="24"/>
                <w:szCs w:val="24"/>
              </w:rPr>
              <w:t>Practices should</w:t>
            </w:r>
            <w:r w:rsidR="00356E30" w:rsidRPr="00DB65FA">
              <w:rPr>
                <w:rFonts w:cstheme="minorHAnsi"/>
                <w:sz w:val="24"/>
                <w:szCs w:val="24"/>
              </w:rPr>
              <w:t xml:space="preserve"> consider publishing as much information </w:t>
            </w:r>
            <w:r>
              <w:rPr>
                <w:rFonts w:cstheme="minorHAnsi"/>
                <w:sz w:val="24"/>
                <w:szCs w:val="24"/>
              </w:rPr>
              <w:t>and</w:t>
            </w:r>
            <w:r w:rsidR="00356E30" w:rsidRPr="00DB65FA">
              <w:rPr>
                <w:rFonts w:cstheme="minorHAnsi"/>
                <w:sz w:val="24"/>
                <w:szCs w:val="24"/>
              </w:rPr>
              <w:t xml:space="preserve"> detail as possible. </w:t>
            </w:r>
          </w:p>
        </w:tc>
        <w:tc>
          <w:tcPr>
            <w:tcW w:w="3714" w:type="dxa"/>
            <w:shd w:val="clear" w:color="auto" w:fill="auto"/>
          </w:tcPr>
          <w:p w14:paraId="79D21164" w14:textId="108C326D" w:rsidR="00356E30" w:rsidRPr="00DB65FA" w:rsidRDefault="00D1548E" w:rsidP="00544339">
            <w:pPr>
              <w:rPr>
                <w:rFonts w:cstheme="minorHAnsi"/>
                <w:sz w:val="24"/>
                <w:szCs w:val="24"/>
              </w:rPr>
            </w:pPr>
            <w:r>
              <w:rPr>
                <w:rFonts w:cstheme="minorHAnsi"/>
                <w:sz w:val="24"/>
                <w:szCs w:val="24"/>
              </w:rPr>
              <w:t xml:space="preserve">Via email to </w:t>
            </w:r>
            <w:hyperlink r:id="rId18" w:history="1">
              <w:r w:rsidRPr="000764A2">
                <w:rPr>
                  <w:rStyle w:val="Hyperlink"/>
                  <w:rFonts w:cstheme="minorHAnsi"/>
                  <w:sz w:val="24"/>
                  <w:szCs w:val="24"/>
                </w:rPr>
                <w:t>walford.mill@nhs.net</w:t>
              </w:r>
            </w:hyperlink>
          </w:p>
        </w:tc>
        <w:tc>
          <w:tcPr>
            <w:tcW w:w="1843" w:type="dxa"/>
            <w:shd w:val="clear" w:color="auto" w:fill="auto"/>
          </w:tcPr>
          <w:p w14:paraId="0AF21DFF" w14:textId="6C79C75D" w:rsidR="00356E30" w:rsidRPr="00DB65FA" w:rsidRDefault="00D1548E" w:rsidP="00544339">
            <w:pPr>
              <w:rPr>
                <w:rFonts w:cstheme="minorHAnsi"/>
                <w:sz w:val="24"/>
                <w:szCs w:val="24"/>
              </w:rPr>
            </w:pPr>
            <w:r>
              <w:rPr>
                <w:rFonts w:cstheme="minorHAnsi"/>
                <w:sz w:val="24"/>
                <w:szCs w:val="24"/>
              </w:rPr>
              <w:t>0.00</w:t>
            </w:r>
          </w:p>
        </w:tc>
      </w:tr>
      <w:tr w:rsidR="00356E30" w:rsidRPr="00DB65FA" w14:paraId="1198DFB1" w14:textId="77777777" w:rsidTr="00544339">
        <w:trPr>
          <w:trHeight w:val="188"/>
        </w:trPr>
        <w:tc>
          <w:tcPr>
            <w:tcW w:w="8755" w:type="dxa"/>
            <w:shd w:val="clear" w:color="auto" w:fill="auto"/>
          </w:tcPr>
          <w:p w14:paraId="04BFBD5E" w14:textId="77777777" w:rsidR="00356E30" w:rsidRPr="00DB65FA" w:rsidRDefault="00356E30" w:rsidP="00544339">
            <w:pPr>
              <w:rPr>
                <w:rFonts w:cstheme="minorHAnsi"/>
                <w:sz w:val="24"/>
                <w:szCs w:val="24"/>
              </w:rPr>
            </w:pPr>
            <w:r w:rsidRPr="00DB65FA">
              <w:rPr>
                <w:rFonts w:cstheme="minorHAnsi"/>
                <w:sz w:val="24"/>
                <w:szCs w:val="24"/>
              </w:rPr>
              <w:t xml:space="preserve">Audit of NHS/HSC income </w:t>
            </w:r>
          </w:p>
        </w:tc>
        <w:tc>
          <w:tcPr>
            <w:tcW w:w="3714" w:type="dxa"/>
            <w:shd w:val="clear" w:color="auto" w:fill="auto"/>
          </w:tcPr>
          <w:p w14:paraId="4AD075EC" w14:textId="02228978" w:rsidR="00356E30" w:rsidRPr="00DB65FA" w:rsidRDefault="00D1548E" w:rsidP="00544339">
            <w:pPr>
              <w:rPr>
                <w:rFonts w:cstheme="minorHAnsi"/>
                <w:sz w:val="24"/>
                <w:szCs w:val="24"/>
              </w:rPr>
            </w:pPr>
            <w:r>
              <w:rPr>
                <w:rFonts w:cstheme="minorHAnsi"/>
                <w:sz w:val="24"/>
                <w:szCs w:val="24"/>
              </w:rPr>
              <w:t xml:space="preserve">Via email to </w:t>
            </w:r>
            <w:hyperlink r:id="rId19" w:history="1">
              <w:r w:rsidRPr="000764A2">
                <w:rPr>
                  <w:rStyle w:val="Hyperlink"/>
                  <w:rFonts w:cstheme="minorHAnsi"/>
                  <w:sz w:val="24"/>
                  <w:szCs w:val="24"/>
                </w:rPr>
                <w:t>walford.mill@nhs.net</w:t>
              </w:r>
            </w:hyperlink>
          </w:p>
        </w:tc>
        <w:tc>
          <w:tcPr>
            <w:tcW w:w="1843" w:type="dxa"/>
            <w:shd w:val="clear" w:color="auto" w:fill="auto"/>
          </w:tcPr>
          <w:p w14:paraId="3A48B01B" w14:textId="28AC02E7" w:rsidR="00356E30" w:rsidRPr="00DB65FA" w:rsidRDefault="00D1548E" w:rsidP="00544339">
            <w:pPr>
              <w:rPr>
                <w:rFonts w:cstheme="minorHAnsi"/>
                <w:sz w:val="24"/>
                <w:szCs w:val="24"/>
              </w:rPr>
            </w:pPr>
            <w:r>
              <w:rPr>
                <w:rFonts w:cstheme="minorHAnsi"/>
                <w:sz w:val="24"/>
                <w:szCs w:val="24"/>
              </w:rPr>
              <w:t>0.00</w:t>
            </w:r>
          </w:p>
        </w:tc>
      </w:tr>
      <w:tr w:rsidR="00356E30" w:rsidRPr="00DB65FA" w14:paraId="0C0140AC" w14:textId="77777777" w:rsidTr="00544339">
        <w:trPr>
          <w:trHeight w:val="188"/>
        </w:trPr>
        <w:tc>
          <w:tcPr>
            <w:tcW w:w="8755" w:type="dxa"/>
            <w:shd w:val="clear" w:color="auto" w:fill="auto"/>
          </w:tcPr>
          <w:p w14:paraId="30CA41A6" w14:textId="77777777" w:rsidR="00356E30" w:rsidRPr="00DB65FA" w:rsidRDefault="00356E30" w:rsidP="00544339">
            <w:pPr>
              <w:rPr>
                <w:rFonts w:cstheme="minorHAnsi"/>
                <w:sz w:val="24"/>
                <w:szCs w:val="24"/>
              </w:rPr>
            </w:pPr>
            <w:r w:rsidRPr="00DB65FA">
              <w:rPr>
                <w:rFonts w:cstheme="minorHAnsi"/>
                <w:sz w:val="24"/>
                <w:szCs w:val="24"/>
              </w:rPr>
              <w:t>Details of expenditure items over £10,000 - published at least annually but at a more frequent quarterly or six-monthly interval where practical.</w:t>
            </w:r>
          </w:p>
        </w:tc>
        <w:tc>
          <w:tcPr>
            <w:tcW w:w="3714" w:type="dxa"/>
            <w:shd w:val="clear" w:color="auto" w:fill="auto"/>
          </w:tcPr>
          <w:p w14:paraId="5A45478F" w14:textId="02007B44" w:rsidR="00356E30" w:rsidRPr="00DB65FA" w:rsidRDefault="00D1548E" w:rsidP="00544339">
            <w:pPr>
              <w:rPr>
                <w:rFonts w:cstheme="minorHAnsi"/>
                <w:sz w:val="24"/>
                <w:szCs w:val="24"/>
              </w:rPr>
            </w:pPr>
            <w:r>
              <w:rPr>
                <w:rFonts w:cstheme="minorHAnsi"/>
                <w:sz w:val="24"/>
                <w:szCs w:val="24"/>
              </w:rPr>
              <w:t xml:space="preserve">Via email to </w:t>
            </w:r>
            <w:hyperlink r:id="rId20" w:history="1">
              <w:r w:rsidRPr="000764A2">
                <w:rPr>
                  <w:rStyle w:val="Hyperlink"/>
                  <w:rFonts w:cstheme="minorHAnsi"/>
                  <w:sz w:val="24"/>
                  <w:szCs w:val="24"/>
                </w:rPr>
                <w:t>walford.mill@nhs.net</w:t>
              </w:r>
            </w:hyperlink>
          </w:p>
        </w:tc>
        <w:tc>
          <w:tcPr>
            <w:tcW w:w="1843" w:type="dxa"/>
            <w:shd w:val="clear" w:color="auto" w:fill="auto"/>
          </w:tcPr>
          <w:p w14:paraId="2ED71304" w14:textId="28A0F10F" w:rsidR="00356E30" w:rsidRPr="00DB65FA" w:rsidRDefault="00D1548E" w:rsidP="00544339">
            <w:pPr>
              <w:rPr>
                <w:rFonts w:cstheme="minorHAnsi"/>
                <w:sz w:val="24"/>
                <w:szCs w:val="24"/>
              </w:rPr>
            </w:pPr>
            <w:r>
              <w:rPr>
                <w:rFonts w:cstheme="minorHAnsi"/>
                <w:sz w:val="24"/>
                <w:szCs w:val="24"/>
              </w:rPr>
              <w:t>0.00</w:t>
            </w:r>
          </w:p>
        </w:tc>
      </w:tr>
      <w:tr w:rsidR="00356E30" w:rsidRPr="00DB65FA" w14:paraId="14C37ABC" w14:textId="77777777" w:rsidTr="00544339">
        <w:trPr>
          <w:trHeight w:val="313"/>
        </w:trPr>
        <w:tc>
          <w:tcPr>
            <w:tcW w:w="8755" w:type="dxa"/>
            <w:shd w:val="clear" w:color="auto" w:fill="auto"/>
          </w:tcPr>
          <w:p w14:paraId="271AAD26" w14:textId="61E54B82" w:rsidR="00356E30" w:rsidRPr="00DB65FA" w:rsidRDefault="00356E30" w:rsidP="00544339">
            <w:pPr>
              <w:rPr>
                <w:rFonts w:cstheme="minorHAnsi"/>
                <w:sz w:val="24"/>
                <w:szCs w:val="24"/>
              </w:rPr>
            </w:pPr>
            <w:r w:rsidRPr="00DB65FA">
              <w:rPr>
                <w:rFonts w:cstheme="minorHAnsi"/>
                <w:sz w:val="24"/>
                <w:szCs w:val="24"/>
              </w:rPr>
              <w:t xml:space="preserve">List and value of contracts awarded by the </w:t>
            </w:r>
            <w:r w:rsidR="005E6F12">
              <w:rPr>
                <w:rFonts w:cstheme="minorHAnsi"/>
                <w:sz w:val="24"/>
                <w:szCs w:val="24"/>
              </w:rPr>
              <w:t>P</w:t>
            </w:r>
            <w:r w:rsidRPr="00DB65FA">
              <w:rPr>
                <w:rFonts w:cstheme="minorHAnsi"/>
                <w:sz w:val="24"/>
                <w:szCs w:val="24"/>
              </w:rPr>
              <w:t xml:space="preserve">ractice. </w:t>
            </w:r>
            <w:r w:rsidR="005E6F12">
              <w:rPr>
                <w:rFonts w:cstheme="minorHAnsi"/>
                <w:sz w:val="24"/>
                <w:szCs w:val="24"/>
              </w:rPr>
              <w:t xml:space="preserve"> The ICO</w:t>
            </w:r>
            <w:r w:rsidRPr="00DB65FA">
              <w:rPr>
                <w:rFonts w:cstheme="minorHAnsi"/>
                <w:sz w:val="24"/>
                <w:szCs w:val="24"/>
              </w:rPr>
              <w:t xml:space="preserve"> would normally only expect the </w:t>
            </w:r>
            <w:r w:rsidR="005E6F12">
              <w:rPr>
                <w:rFonts w:cstheme="minorHAnsi"/>
                <w:sz w:val="24"/>
                <w:szCs w:val="24"/>
              </w:rPr>
              <w:t>P</w:t>
            </w:r>
            <w:r w:rsidRPr="00DB65FA">
              <w:rPr>
                <w:rFonts w:cstheme="minorHAnsi"/>
                <w:sz w:val="24"/>
                <w:szCs w:val="24"/>
              </w:rPr>
              <w:t>ractice to publish details of contracts that are of sufficient size to have gone through a formal tendering process.</w:t>
            </w:r>
          </w:p>
        </w:tc>
        <w:tc>
          <w:tcPr>
            <w:tcW w:w="3714" w:type="dxa"/>
            <w:shd w:val="clear" w:color="auto" w:fill="auto"/>
          </w:tcPr>
          <w:p w14:paraId="45715A27" w14:textId="34086C99" w:rsidR="00356E30" w:rsidRPr="00DB65FA" w:rsidRDefault="00D1548E" w:rsidP="00544339">
            <w:pPr>
              <w:rPr>
                <w:rFonts w:cstheme="minorHAnsi"/>
                <w:sz w:val="24"/>
                <w:szCs w:val="24"/>
              </w:rPr>
            </w:pPr>
            <w:r>
              <w:rPr>
                <w:rFonts w:cstheme="minorHAnsi"/>
                <w:sz w:val="24"/>
                <w:szCs w:val="24"/>
              </w:rPr>
              <w:t xml:space="preserve">Via email to </w:t>
            </w:r>
            <w:hyperlink r:id="rId21" w:history="1">
              <w:r w:rsidRPr="000764A2">
                <w:rPr>
                  <w:rStyle w:val="Hyperlink"/>
                  <w:rFonts w:cstheme="minorHAnsi"/>
                  <w:sz w:val="24"/>
                  <w:szCs w:val="24"/>
                </w:rPr>
                <w:t>walford.mill@nhs.net</w:t>
              </w:r>
            </w:hyperlink>
          </w:p>
        </w:tc>
        <w:tc>
          <w:tcPr>
            <w:tcW w:w="1843" w:type="dxa"/>
            <w:shd w:val="clear" w:color="auto" w:fill="auto"/>
          </w:tcPr>
          <w:p w14:paraId="289C71B8" w14:textId="53319984" w:rsidR="00356E30" w:rsidRPr="00DB65FA" w:rsidRDefault="00D1548E" w:rsidP="00544339">
            <w:pPr>
              <w:rPr>
                <w:rFonts w:cstheme="minorHAnsi"/>
                <w:sz w:val="24"/>
                <w:szCs w:val="24"/>
              </w:rPr>
            </w:pPr>
            <w:r>
              <w:rPr>
                <w:rFonts w:cstheme="minorHAnsi"/>
                <w:sz w:val="24"/>
                <w:szCs w:val="24"/>
              </w:rPr>
              <w:t>0.00</w:t>
            </w:r>
          </w:p>
        </w:tc>
      </w:tr>
      <w:tr w:rsidR="00356E30" w:rsidRPr="00DB65FA" w14:paraId="0C0BD6BD" w14:textId="77777777" w:rsidTr="00544339">
        <w:trPr>
          <w:trHeight w:val="313"/>
        </w:trPr>
        <w:tc>
          <w:tcPr>
            <w:tcW w:w="8755" w:type="dxa"/>
            <w:shd w:val="clear" w:color="auto" w:fill="auto"/>
          </w:tcPr>
          <w:p w14:paraId="2A483E70" w14:textId="77777777" w:rsidR="00356E30" w:rsidRPr="00DB65FA" w:rsidRDefault="00356E30" w:rsidP="00544339">
            <w:pPr>
              <w:rPr>
                <w:rFonts w:cstheme="minorHAnsi"/>
                <w:sz w:val="24"/>
                <w:szCs w:val="24"/>
              </w:rPr>
            </w:pPr>
            <w:r w:rsidRPr="00DB65FA">
              <w:rPr>
                <w:rFonts w:cstheme="minorHAnsi"/>
                <w:sz w:val="24"/>
                <w:szCs w:val="24"/>
              </w:rPr>
              <w:t>Staff allowances and expenses that can be incurred or claimed, with totals paid to senior staff members (for the purpose of this document, senior staff are defined as partners or equivalent level), by references to categories.</w:t>
            </w:r>
          </w:p>
        </w:tc>
        <w:tc>
          <w:tcPr>
            <w:tcW w:w="3714" w:type="dxa"/>
            <w:shd w:val="clear" w:color="auto" w:fill="auto"/>
          </w:tcPr>
          <w:p w14:paraId="309014BF" w14:textId="423AE96C" w:rsidR="00356E30" w:rsidRPr="00DB65FA" w:rsidRDefault="00D1548E" w:rsidP="00544339">
            <w:pPr>
              <w:rPr>
                <w:rFonts w:cstheme="minorHAnsi"/>
                <w:sz w:val="24"/>
                <w:szCs w:val="24"/>
              </w:rPr>
            </w:pPr>
            <w:r>
              <w:rPr>
                <w:rFonts w:cstheme="minorHAnsi"/>
                <w:sz w:val="24"/>
                <w:szCs w:val="24"/>
              </w:rPr>
              <w:t xml:space="preserve">Via email to </w:t>
            </w:r>
            <w:hyperlink r:id="rId22" w:history="1">
              <w:r w:rsidRPr="000764A2">
                <w:rPr>
                  <w:rStyle w:val="Hyperlink"/>
                  <w:rFonts w:cstheme="minorHAnsi"/>
                  <w:sz w:val="24"/>
                  <w:szCs w:val="24"/>
                </w:rPr>
                <w:t>walford.mill@nhs.net</w:t>
              </w:r>
            </w:hyperlink>
          </w:p>
        </w:tc>
        <w:tc>
          <w:tcPr>
            <w:tcW w:w="1843" w:type="dxa"/>
            <w:shd w:val="clear" w:color="auto" w:fill="auto"/>
          </w:tcPr>
          <w:p w14:paraId="2278B6DC" w14:textId="1187BBE6" w:rsidR="00356E30" w:rsidRPr="00DB65FA" w:rsidRDefault="00D1548E" w:rsidP="00544339">
            <w:pPr>
              <w:rPr>
                <w:rFonts w:cstheme="minorHAnsi"/>
                <w:sz w:val="24"/>
                <w:szCs w:val="24"/>
              </w:rPr>
            </w:pPr>
            <w:r>
              <w:rPr>
                <w:rFonts w:cstheme="minorHAnsi"/>
                <w:sz w:val="24"/>
                <w:szCs w:val="24"/>
              </w:rPr>
              <w:t>0.00</w:t>
            </w:r>
          </w:p>
        </w:tc>
      </w:tr>
      <w:tr w:rsidR="00356E30" w:rsidRPr="00DB65FA" w14:paraId="3F9184CD" w14:textId="77777777" w:rsidTr="00544339">
        <w:trPr>
          <w:trHeight w:val="313"/>
        </w:trPr>
        <w:tc>
          <w:tcPr>
            <w:tcW w:w="8755" w:type="dxa"/>
            <w:shd w:val="clear" w:color="auto" w:fill="auto"/>
          </w:tcPr>
          <w:p w14:paraId="3D39C8B5" w14:textId="77777777" w:rsidR="00356E30" w:rsidRPr="00DB65FA" w:rsidRDefault="00356E30" w:rsidP="00544339">
            <w:pPr>
              <w:rPr>
                <w:rFonts w:cstheme="minorHAnsi"/>
                <w:sz w:val="24"/>
                <w:szCs w:val="24"/>
              </w:rPr>
            </w:pPr>
            <w:r w:rsidRPr="00DB65FA">
              <w:rPr>
                <w:rFonts w:cstheme="minorHAnsi"/>
                <w:sz w:val="24"/>
                <w:szCs w:val="24"/>
              </w:rPr>
              <w:t>Pay policy</w:t>
            </w:r>
          </w:p>
        </w:tc>
        <w:tc>
          <w:tcPr>
            <w:tcW w:w="3714" w:type="dxa"/>
            <w:shd w:val="clear" w:color="auto" w:fill="auto"/>
          </w:tcPr>
          <w:p w14:paraId="6CD59C7F" w14:textId="6919A4C8" w:rsidR="00356E30" w:rsidRPr="00DB65FA" w:rsidRDefault="00D1548E" w:rsidP="00544339">
            <w:pPr>
              <w:rPr>
                <w:rFonts w:cstheme="minorHAnsi"/>
                <w:sz w:val="24"/>
                <w:szCs w:val="24"/>
              </w:rPr>
            </w:pPr>
            <w:r>
              <w:rPr>
                <w:rFonts w:cstheme="minorHAnsi"/>
                <w:sz w:val="24"/>
                <w:szCs w:val="24"/>
              </w:rPr>
              <w:t xml:space="preserve">Via email to </w:t>
            </w:r>
            <w:hyperlink r:id="rId23" w:history="1">
              <w:r w:rsidRPr="000764A2">
                <w:rPr>
                  <w:rStyle w:val="Hyperlink"/>
                  <w:rFonts w:cstheme="minorHAnsi"/>
                  <w:sz w:val="24"/>
                  <w:szCs w:val="24"/>
                </w:rPr>
                <w:t>walford.mill@nhs.net</w:t>
              </w:r>
            </w:hyperlink>
          </w:p>
        </w:tc>
        <w:tc>
          <w:tcPr>
            <w:tcW w:w="1843" w:type="dxa"/>
            <w:shd w:val="clear" w:color="auto" w:fill="auto"/>
          </w:tcPr>
          <w:p w14:paraId="59E19EAF" w14:textId="1522C057" w:rsidR="00356E30" w:rsidRPr="00DB65FA" w:rsidRDefault="00D1548E" w:rsidP="00544339">
            <w:pPr>
              <w:rPr>
                <w:rFonts w:cstheme="minorHAnsi"/>
                <w:sz w:val="24"/>
                <w:szCs w:val="24"/>
              </w:rPr>
            </w:pPr>
            <w:r>
              <w:rPr>
                <w:rFonts w:cstheme="minorHAnsi"/>
                <w:sz w:val="24"/>
                <w:szCs w:val="24"/>
              </w:rPr>
              <w:t>0.00</w:t>
            </w:r>
          </w:p>
        </w:tc>
      </w:tr>
      <w:tr w:rsidR="00356E30" w:rsidRPr="00DB65FA" w14:paraId="78F6EDEA" w14:textId="77777777" w:rsidTr="00544339">
        <w:trPr>
          <w:trHeight w:val="313"/>
        </w:trPr>
        <w:tc>
          <w:tcPr>
            <w:tcW w:w="8755" w:type="dxa"/>
            <w:shd w:val="clear" w:color="auto" w:fill="auto"/>
          </w:tcPr>
          <w:p w14:paraId="4CA09586" w14:textId="77777777" w:rsidR="00356E30" w:rsidRPr="00DB65FA" w:rsidRDefault="00356E30" w:rsidP="00544339">
            <w:pPr>
              <w:rPr>
                <w:rFonts w:cstheme="minorHAnsi"/>
                <w:sz w:val="24"/>
                <w:szCs w:val="24"/>
              </w:rPr>
            </w:pPr>
            <w:r w:rsidRPr="00DB65FA">
              <w:rPr>
                <w:rFonts w:cstheme="minorHAnsi"/>
                <w:sz w:val="24"/>
                <w:szCs w:val="24"/>
              </w:rPr>
              <w:t>Declaration of GPs’ NHS/HSC income.</w:t>
            </w:r>
          </w:p>
          <w:p w14:paraId="4795027B" w14:textId="6B9B8FCB" w:rsidR="005E6F12" w:rsidRPr="00DB65FA" w:rsidRDefault="00356E30" w:rsidP="00D8706A">
            <w:pPr>
              <w:rPr>
                <w:rFonts w:cstheme="minorHAnsi"/>
                <w:sz w:val="24"/>
                <w:szCs w:val="24"/>
              </w:rPr>
            </w:pPr>
            <w:r w:rsidRPr="00DB65FA">
              <w:rPr>
                <w:rFonts w:cstheme="minorHAnsi"/>
                <w:sz w:val="24"/>
                <w:szCs w:val="24"/>
              </w:rPr>
              <w:t>The information made available as part of GP</w:t>
            </w:r>
            <w:r w:rsidR="005E6F12">
              <w:rPr>
                <w:rFonts w:cstheme="minorHAnsi"/>
                <w:sz w:val="24"/>
                <w:szCs w:val="24"/>
              </w:rPr>
              <w:t>’</w:t>
            </w:r>
            <w:r w:rsidRPr="00DB65FA">
              <w:rPr>
                <w:rFonts w:cstheme="minorHAnsi"/>
                <w:sz w:val="24"/>
                <w:szCs w:val="24"/>
              </w:rPr>
              <w:t xml:space="preserve">s contractual obligation to publish their net income relating to NHS/HSC contracts, once this obligation is in force. </w:t>
            </w:r>
            <w:r w:rsidR="005E6F12">
              <w:rPr>
                <w:rFonts w:cstheme="minorHAnsi"/>
                <w:sz w:val="24"/>
                <w:szCs w:val="24"/>
              </w:rPr>
              <w:t xml:space="preserve"> </w:t>
            </w:r>
            <w:r w:rsidRPr="00DB65FA">
              <w:rPr>
                <w:rFonts w:cstheme="minorHAnsi"/>
                <w:sz w:val="24"/>
                <w:szCs w:val="24"/>
              </w:rPr>
              <w:t>A link may be provided to the information on a third</w:t>
            </w:r>
            <w:r w:rsidR="005E6F12">
              <w:rPr>
                <w:rFonts w:cstheme="minorHAnsi"/>
                <w:sz w:val="24"/>
                <w:szCs w:val="24"/>
              </w:rPr>
              <w:t>-</w:t>
            </w:r>
            <w:r w:rsidRPr="00DB65FA">
              <w:rPr>
                <w:rFonts w:cstheme="minorHAnsi"/>
                <w:sz w:val="24"/>
                <w:szCs w:val="24"/>
              </w:rPr>
              <w:t>party website, and /or a description of where this information is available.</w:t>
            </w:r>
          </w:p>
        </w:tc>
        <w:tc>
          <w:tcPr>
            <w:tcW w:w="3714" w:type="dxa"/>
            <w:shd w:val="clear" w:color="auto" w:fill="auto"/>
          </w:tcPr>
          <w:p w14:paraId="3A8D097E" w14:textId="666F0289" w:rsidR="00356E30" w:rsidRPr="00DB65FA" w:rsidRDefault="00D1548E" w:rsidP="00544339">
            <w:pPr>
              <w:rPr>
                <w:rFonts w:cstheme="minorHAnsi"/>
                <w:sz w:val="24"/>
                <w:szCs w:val="24"/>
              </w:rPr>
            </w:pPr>
            <w:r>
              <w:rPr>
                <w:rFonts w:cstheme="minorHAnsi"/>
                <w:sz w:val="24"/>
                <w:szCs w:val="24"/>
              </w:rPr>
              <w:t xml:space="preserve">Website  </w:t>
            </w:r>
          </w:p>
        </w:tc>
        <w:tc>
          <w:tcPr>
            <w:tcW w:w="1843" w:type="dxa"/>
            <w:shd w:val="clear" w:color="auto" w:fill="auto"/>
          </w:tcPr>
          <w:p w14:paraId="4FB1F453" w14:textId="30F40E15" w:rsidR="00356E30" w:rsidRPr="00DB65FA" w:rsidRDefault="00D1548E" w:rsidP="00544339">
            <w:pPr>
              <w:rPr>
                <w:rFonts w:cstheme="minorHAnsi"/>
                <w:sz w:val="24"/>
                <w:szCs w:val="24"/>
              </w:rPr>
            </w:pPr>
            <w:r>
              <w:rPr>
                <w:rFonts w:cstheme="minorHAnsi"/>
                <w:sz w:val="24"/>
                <w:szCs w:val="24"/>
              </w:rPr>
              <w:t>0.00</w:t>
            </w:r>
          </w:p>
        </w:tc>
      </w:tr>
      <w:tr w:rsidR="00356E30" w:rsidRPr="00DB65FA" w14:paraId="32135F96" w14:textId="77777777" w:rsidTr="00544339">
        <w:trPr>
          <w:trHeight w:val="183"/>
        </w:trPr>
        <w:tc>
          <w:tcPr>
            <w:tcW w:w="14312" w:type="dxa"/>
            <w:gridSpan w:val="3"/>
            <w:shd w:val="clear" w:color="auto" w:fill="D9E2F3" w:themeFill="accent1" w:themeFillTint="33"/>
          </w:tcPr>
          <w:p w14:paraId="34121B13" w14:textId="77777777" w:rsidR="00356E30" w:rsidRPr="00DB65FA" w:rsidRDefault="00356E30" w:rsidP="00544339">
            <w:pPr>
              <w:rPr>
                <w:rFonts w:cstheme="minorHAnsi"/>
                <w:b/>
                <w:sz w:val="24"/>
                <w:szCs w:val="24"/>
              </w:rPr>
            </w:pPr>
            <w:r w:rsidRPr="00DB65FA">
              <w:rPr>
                <w:rFonts w:cstheme="minorHAnsi"/>
                <w:b/>
                <w:sz w:val="24"/>
                <w:szCs w:val="24"/>
              </w:rPr>
              <w:t>Class 3 – What our priorities are and how we are doing</w:t>
            </w:r>
          </w:p>
          <w:p w14:paraId="35A5857D" w14:textId="77777777" w:rsidR="00356E30" w:rsidRPr="00DB65FA" w:rsidRDefault="00356E30" w:rsidP="00544339">
            <w:pPr>
              <w:rPr>
                <w:rFonts w:cstheme="minorHAnsi"/>
                <w:sz w:val="24"/>
                <w:szCs w:val="24"/>
              </w:rPr>
            </w:pPr>
            <w:r w:rsidRPr="00DB65FA">
              <w:rPr>
                <w:rFonts w:cstheme="minorHAnsi"/>
                <w:sz w:val="24"/>
                <w:szCs w:val="24"/>
              </w:rPr>
              <w:t>Strategies and plans, performance indicators, audits, inspections and reviews</w:t>
            </w:r>
          </w:p>
          <w:p w14:paraId="29FEE13B" w14:textId="77777777" w:rsidR="00356E30" w:rsidRPr="00F85D2F" w:rsidRDefault="00356E30" w:rsidP="00544339">
            <w:pPr>
              <w:rPr>
                <w:rFonts w:cstheme="minorHAnsi"/>
                <w:i/>
                <w:iCs/>
                <w:sz w:val="24"/>
                <w:szCs w:val="24"/>
              </w:rPr>
            </w:pPr>
            <w:r w:rsidRPr="00F85D2F">
              <w:rPr>
                <w:rFonts w:cstheme="minorHAnsi"/>
                <w:i/>
                <w:iCs/>
                <w:sz w:val="24"/>
                <w:szCs w:val="24"/>
              </w:rPr>
              <w:t>Current and previous year as a minimum</w:t>
            </w:r>
          </w:p>
        </w:tc>
      </w:tr>
      <w:tr w:rsidR="00356E30" w:rsidRPr="00DB65FA" w14:paraId="3C2A9B86" w14:textId="77777777" w:rsidTr="00544339">
        <w:trPr>
          <w:trHeight w:val="283"/>
        </w:trPr>
        <w:tc>
          <w:tcPr>
            <w:tcW w:w="8755" w:type="dxa"/>
            <w:shd w:val="clear" w:color="auto" w:fill="auto"/>
          </w:tcPr>
          <w:p w14:paraId="2C46DE73" w14:textId="77777777" w:rsidR="00356E30" w:rsidRPr="00DB65FA" w:rsidRDefault="00356E30" w:rsidP="00544339">
            <w:pPr>
              <w:rPr>
                <w:rFonts w:cstheme="minorHAnsi"/>
                <w:sz w:val="24"/>
                <w:szCs w:val="24"/>
              </w:rPr>
            </w:pPr>
            <w:r w:rsidRPr="00DB65FA">
              <w:rPr>
                <w:rFonts w:cstheme="minorHAnsi"/>
                <w:sz w:val="24"/>
                <w:szCs w:val="24"/>
              </w:rPr>
              <w:lastRenderedPageBreak/>
              <w:t>Plans for the development and provision of NHS/HSC services</w:t>
            </w:r>
          </w:p>
        </w:tc>
        <w:tc>
          <w:tcPr>
            <w:tcW w:w="3714" w:type="dxa"/>
            <w:shd w:val="clear" w:color="auto" w:fill="auto"/>
          </w:tcPr>
          <w:p w14:paraId="35D0BD44" w14:textId="3EDE1E6D" w:rsidR="00356E30" w:rsidRPr="00DB65FA" w:rsidRDefault="00D1548E" w:rsidP="00544339">
            <w:pPr>
              <w:rPr>
                <w:rFonts w:cstheme="minorHAnsi"/>
                <w:sz w:val="24"/>
                <w:szCs w:val="24"/>
              </w:rPr>
            </w:pPr>
            <w:r>
              <w:rPr>
                <w:rFonts w:cstheme="minorHAnsi"/>
                <w:sz w:val="24"/>
                <w:szCs w:val="24"/>
              </w:rPr>
              <w:t xml:space="preserve">Via email to </w:t>
            </w:r>
            <w:hyperlink r:id="rId24" w:history="1">
              <w:r w:rsidRPr="000764A2">
                <w:rPr>
                  <w:rStyle w:val="Hyperlink"/>
                  <w:rFonts w:cstheme="minorHAnsi"/>
                  <w:sz w:val="24"/>
                  <w:szCs w:val="24"/>
                </w:rPr>
                <w:t>walford.mill@nhs.net</w:t>
              </w:r>
            </w:hyperlink>
          </w:p>
        </w:tc>
        <w:tc>
          <w:tcPr>
            <w:tcW w:w="1843" w:type="dxa"/>
            <w:shd w:val="clear" w:color="auto" w:fill="auto"/>
          </w:tcPr>
          <w:p w14:paraId="23F9AB3A" w14:textId="48336DC6" w:rsidR="00356E30" w:rsidRPr="00DB65FA" w:rsidRDefault="00D1548E" w:rsidP="00544339">
            <w:pPr>
              <w:rPr>
                <w:rFonts w:cstheme="minorHAnsi"/>
                <w:sz w:val="24"/>
                <w:szCs w:val="24"/>
              </w:rPr>
            </w:pPr>
            <w:r>
              <w:rPr>
                <w:rFonts w:cstheme="minorHAnsi"/>
                <w:sz w:val="24"/>
                <w:szCs w:val="24"/>
              </w:rPr>
              <w:t>0</w:t>
            </w:r>
          </w:p>
        </w:tc>
      </w:tr>
      <w:tr w:rsidR="00356E30" w:rsidRPr="00DB65FA" w14:paraId="7A843E12" w14:textId="77777777" w:rsidTr="00544339">
        <w:trPr>
          <w:trHeight w:val="209"/>
        </w:trPr>
        <w:tc>
          <w:tcPr>
            <w:tcW w:w="8755" w:type="dxa"/>
            <w:shd w:val="clear" w:color="auto" w:fill="auto"/>
          </w:tcPr>
          <w:p w14:paraId="499D3A26" w14:textId="77777777" w:rsidR="00356E30" w:rsidRPr="00DB65FA" w:rsidRDefault="00356E30" w:rsidP="00544339">
            <w:pPr>
              <w:rPr>
                <w:rFonts w:cstheme="minorHAnsi"/>
                <w:sz w:val="24"/>
                <w:szCs w:val="24"/>
              </w:rPr>
            </w:pPr>
            <w:r w:rsidRPr="00DB65FA">
              <w:rPr>
                <w:rFonts w:cstheme="minorHAnsi"/>
                <w:sz w:val="24"/>
                <w:szCs w:val="24"/>
              </w:rPr>
              <w:t>Performance data including performance against targets</w:t>
            </w:r>
          </w:p>
        </w:tc>
        <w:tc>
          <w:tcPr>
            <w:tcW w:w="3714" w:type="dxa"/>
            <w:shd w:val="clear" w:color="auto" w:fill="auto"/>
          </w:tcPr>
          <w:p w14:paraId="2FCC8ECF" w14:textId="4DE0A9A8" w:rsidR="00356E30" w:rsidRPr="00DB65FA" w:rsidRDefault="00D1548E" w:rsidP="00544339">
            <w:pPr>
              <w:rPr>
                <w:rFonts w:cstheme="minorHAnsi"/>
                <w:sz w:val="24"/>
                <w:szCs w:val="24"/>
              </w:rPr>
            </w:pPr>
            <w:r>
              <w:rPr>
                <w:rFonts w:cstheme="minorHAnsi"/>
                <w:sz w:val="24"/>
                <w:szCs w:val="24"/>
              </w:rPr>
              <w:t xml:space="preserve">Via email to </w:t>
            </w:r>
            <w:hyperlink r:id="rId25" w:history="1">
              <w:r w:rsidRPr="000764A2">
                <w:rPr>
                  <w:rStyle w:val="Hyperlink"/>
                  <w:rFonts w:cstheme="minorHAnsi"/>
                  <w:sz w:val="24"/>
                  <w:szCs w:val="24"/>
                </w:rPr>
                <w:t>walford.mill@nhs.net</w:t>
              </w:r>
            </w:hyperlink>
            <w:r>
              <w:rPr>
                <w:rFonts w:cstheme="minorHAnsi"/>
                <w:sz w:val="24"/>
                <w:szCs w:val="24"/>
              </w:rPr>
              <w:t xml:space="preserve"> or via published information online.</w:t>
            </w:r>
          </w:p>
        </w:tc>
        <w:tc>
          <w:tcPr>
            <w:tcW w:w="1843" w:type="dxa"/>
            <w:shd w:val="clear" w:color="auto" w:fill="auto"/>
          </w:tcPr>
          <w:p w14:paraId="558F6E38" w14:textId="73100241" w:rsidR="00356E30" w:rsidRPr="00DB65FA" w:rsidRDefault="00D1548E" w:rsidP="00544339">
            <w:pPr>
              <w:rPr>
                <w:rFonts w:cstheme="minorHAnsi"/>
                <w:sz w:val="24"/>
                <w:szCs w:val="24"/>
              </w:rPr>
            </w:pPr>
            <w:r>
              <w:rPr>
                <w:rFonts w:cstheme="minorHAnsi"/>
                <w:sz w:val="24"/>
                <w:szCs w:val="24"/>
              </w:rPr>
              <w:t>0</w:t>
            </w:r>
          </w:p>
        </w:tc>
      </w:tr>
      <w:tr w:rsidR="00356E30" w:rsidRPr="00DB65FA" w14:paraId="241DB28F" w14:textId="77777777" w:rsidTr="00544339">
        <w:trPr>
          <w:trHeight w:val="363"/>
        </w:trPr>
        <w:tc>
          <w:tcPr>
            <w:tcW w:w="8755" w:type="dxa"/>
            <w:shd w:val="clear" w:color="auto" w:fill="auto"/>
          </w:tcPr>
          <w:p w14:paraId="3E4E2FAD" w14:textId="10FCA3B9" w:rsidR="00356E30" w:rsidRPr="00DB65FA" w:rsidRDefault="00356E30" w:rsidP="00544339">
            <w:pPr>
              <w:rPr>
                <w:rFonts w:cstheme="minorHAnsi"/>
                <w:sz w:val="24"/>
                <w:szCs w:val="24"/>
              </w:rPr>
            </w:pPr>
            <w:r w:rsidRPr="00DB65FA">
              <w:rPr>
                <w:rFonts w:cstheme="minorHAnsi"/>
                <w:sz w:val="24"/>
                <w:szCs w:val="24"/>
              </w:rPr>
              <w:t>Inspection reports by regulators: the CQC, HIW, RQIA and HSCB and other regulators.</w:t>
            </w:r>
          </w:p>
        </w:tc>
        <w:tc>
          <w:tcPr>
            <w:tcW w:w="3714" w:type="dxa"/>
            <w:shd w:val="clear" w:color="auto" w:fill="auto"/>
          </w:tcPr>
          <w:p w14:paraId="5887D27E" w14:textId="2BDEBDE0" w:rsidR="00356E30" w:rsidRPr="00DB65FA" w:rsidRDefault="00D1548E" w:rsidP="00544339">
            <w:pPr>
              <w:rPr>
                <w:rFonts w:cstheme="minorHAnsi"/>
                <w:sz w:val="24"/>
                <w:szCs w:val="24"/>
              </w:rPr>
            </w:pPr>
            <w:r>
              <w:rPr>
                <w:rFonts w:cstheme="minorHAnsi"/>
                <w:sz w:val="24"/>
                <w:szCs w:val="24"/>
              </w:rPr>
              <w:t xml:space="preserve">Available published online </w:t>
            </w:r>
          </w:p>
        </w:tc>
        <w:tc>
          <w:tcPr>
            <w:tcW w:w="1843" w:type="dxa"/>
            <w:shd w:val="clear" w:color="auto" w:fill="auto"/>
          </w:tcPr>
          <w:p w14:paraId="6DA31306" w14:textId="3CDC8611" w:rsidR="00356E30" w:rsidRPr="00DB65FA" w:rsidRDefault="00D1548E" w:rsidP="00544339">
            <w:pPr>
              <w:rPr>
                <w:rFonts w:cstheme="minorHAnsi"/>
                <w:sz w:val="24"/>
                <w:szCs w:val="24"/>
              </w:rPr>
            </w:pPr>
            <w:r>
              <w:rPr>
                <w:rFonts w:cstheme="minorHAnsi"/>
                <w:sz w:val="24"/>
                <w:szCs w:val="24"/>
              </w:rPr>
              <w:t>0</w:t>
            </w:r>
          </w:p>
        </w:tc>
      </w:tr>
      <w:tr w:rsidR="00356E30" w:rsidRPr="00DB65FA" w14:paraId="65EA8BCE" w14:textId="77777777" w:rsidTr="00544339">
        <w:trPr>
          <w:trHeight w:val="363"/>
        </w:trPr>
        <w:tc>
          <w:tcPr>
            <w:tcW w:w="14312" w:type="dxa"/>
            <w:gridSpan w:val="3"/>
            <w:shd w:val="clear" w:color="auto" w:fill="D9E2F3" w:themeFill="accent1" w:themeFillTint="33"/>
          </w:tcPr>
          <w:p w14:paraId="2257E8A6" w14:textId="77777777" w:rsidR="00356E30" w:rsidRPr="00DB65FA" w:rsidRDefault="00356E30" w:rsidP="00544339">
            <w:pPr>
              <w:rPr>
                <w:rFonts w:cstheme="minorHAnsi"/>
                <w:b/>
                <w:sz w:val="24"/>
                <w:szCs w:val="24"/>
              </w:rPr>
            </w:pPr>
            <w:r w:rsidRPr="00DB65FA">
              <w:rPr>
                <w:rFonts w:cstheme="minorHAnsi"/>
                <w:b/>
                <w:sz w:val="24"/>
                <w:szCs w:val="24"/>
              </w:rPr>
              <w:t>Class 4 – How we make decisions</w:t>
            </w:r>
          </w:p>
          <w:p w14:paraId="2184F3D6" w14:textId="77777777" w:rsidR="00356E30" w:rsidRPr="00DB65FA" w:rsidRDefault="00356E30" w:rsidP="00544339">
            <w:pPr>
              <w:rPr>
                <w:rFonts w:cstheme="minorHAnsi"/>
                <w:sz w:val="24"/>
                <w:szCs w:val="24"/>
              </w:rPr>
            </w:pPr>
            <w:r w:rsidRPr="00DB65FA">
              <w:rPr>
                <w:rFonts w:cstheme="minorHAnsi"/>
                <w:sz w:val="24"/>
                <w:szCs w:val="24"/>
              </w:rPr>
              <w:t>Decision making processes and records of decisions</w:t>
            </w:r>
          </w:p>
          <w:p w14:paraId="048B0FD2" w14:textId="77777777" w:rsidR="00356E30" w:rsidRPr="00DB65FA" w:rsidRDefault="00356E30" w:rsidP="00544339">
            <w:pPr>
              <w:rPr>
                <w:rFonts w:cstheme="minorHAnsi"/>
                <w:sz w:val="24"/>
                <w:szCs w:val="24"/>
              </w:rPr>
            </w:pPr>
            <w:r w:rsidRPr="00F85D2F">
              <w:rPr>
                <w:rFonts w:cstheme="minorHAnsi"/>
                <w:i/>
                <w:iCs/>
                <w:sz w:val="24"/>
                <w:szCs w:val="24"/>
              </w:rPr>
              <w:t>Current and previous year as a minimum</w:t>
            </w:r>
          </w:p>
        </w:tc>
      </w:tr>
      <w:tr w:rsidR="00356E30" w:rsidRPr="00DB65FA" w14:paraId="484BF05B" w14:textId="77777777" w:rsidTr="00544339">
        <w:trPr>
          <w:trHeight w:val="177"/>
        </w:trPr>
        <w:tc>
          <w:tcPr>
            <w:tcW w:w="8755" w:type="dxa"/>
            <w:shd w:val="clear" w:color="auto" w:fill="auto"/>
          </w:tcPr>
          <w:p w14:paraId="72025797" w14:textId="77777777" w:rsidR="00356E30" w:rsidRPr="00DB65FA" w:rsidRDefault="00356E30" w:rsidP="00544339">
            <w:pPr>
              <w:rPr>
                <w:rFonts w:cstheme="minorHAnsi"/>
                <w:sz w:val="24"/>
                <w:szCs w:val="24"/>
              </w:rPr>
            </w:pPr>
            <w:r w:rsidRPr="00DB65FA">
              <w:rPr>
                <w:rFonts w:cstheme="minorHAnsi"/>
                <w:sz w:val="24"/>
                <w:szCs w:val="24"/>
              </w:rPr>
              <w:t>Records of decisions made in the practice affecting the provision of NHS/HSC services.</w:t>
            </w:r>
          </w:p>
        </w:tc>
        <w:tc>
          <w:tcPr>
            <w:tcW w:w="3714" w:type="dxa"/>
            <w:shd w:val="clear" w:color="auto" w:fill="auto"/>
          </w:tcPr>
          <w:p w14:paraId="5EE7426D" w14:textId="598CAEBA" w:rsidR="00356E30" w:rsidRPr="00DB65FA" w:rsidRDefault="00D1548E" w:rsidP="00544339">
            <w:pPr>
              <w:rPr>
                <w:rFonts w:cstheme="minorHAnsi"/>
                <w:sz w:val="24"/>
                <w:szCs w:val="24"/>
              </w:rPr>
            </w:pPr>
            <w:r>
              <w:rPr>
                <w:rFonts w:cstheme="minorHAnsi"/>
                <w:sz w:val="24"/>
                <w:szCs w:val="24"/>
              </w:rPr>
              <w:t xml:space="preserve">Via email to </w:t>
            </w:r>
            <w:hyperlink r:id="rId26" w:history="1">
              <w:r w:rsidRPr="000764A2">
                <w:rPr>
                  <w:rStyle w:val="Hyperlink"/>
                  <w:rFonts w:cstheme="minorHAnsi"/>
                  <w:sz w:val="24"/>
                  <w:szCs w:val="24"/>
                </w:rPr>
                <w:t>walford.mill@nhs.net</w:t>
              </w:r>
            </w:hyperlink>
          </w:p>
        </w:tc>
        <w:tc>
          <w:tcPr>
            <w:tcW w:w="1843" w:type="dxa"/>
            <w:shd w:val="clear" w:color="auto" w:fill="auto"/>
          </w:tcPr>
          <w:p w14:paraId="68EC3220" w14:textId="3B6F6E05" w:rsidR="00356E30" w:rsidRPr="00DB65FA" w:rsidRDefault="00D1548E" w:rsidP="00544339">
            <w:pPr>
              <w:rPr>
                <w:rFonts w:cstheme="minorHAnsi"/>
                <w:sz w:val="24"/>
                <w:szCs w:val="24"/>
              </w:rPr>
            </w:pPr>
            <w:r>
              <w:rPr>
                <w:rFonts w:cstheme="minorHAnsi"/>
                <w:sz w:val="24"/>
                <w:szCs w:val="24"/>
              </w:rPr>
              <w:t>0</w:t>
            </w:r>
          </w:p>
        </w:tc>
      </w:tr>
      <w:tr w:rsidR="00356E30" w:rsidRPr="00DB65FA" w14:paraId="01337EAD" w14:textId="77777777" w:rsidTr="00544339">
        <w:trPr>
          <w:trHeight w:val="363"/>
        </w:trPr>
        <w:tc>
          <w:tcPr>
            <w:tcW w:w="14312" w:type="dxa"/>
            <w:gridSpan w:val="3"/>
            <w:shd w:val="clear" w:color="auto" w:fill="D9E2F3" w:themeFill="accent1" w:themeFillTint="33"/>
          </w:tcPr>
          <w:p w14:paraId="2450C121" w14:textId="77777777" w:rsidR="00356E30" w:rsidRPr="00DB65FA" w:rsidRDefault="00356E30" w:rsidP="00544339">
            <w:pPr>
              <w:rPr>
                <w:rFonts w:cstheme="minorHAnsi"/>
                <w:b/>
                <w:sz w:val="24"/>
                <w:szCs w:val="24"/>
              </w:rPr>
            </w:pPr>
            <w:r w:rsidRPr="00DB65FA">
              <w:rPr>
                <w:rFonts w:cstheme="minorHAnsi"/>
                <w:b/>
                <w:sz w:val="24"/>
                <w:szCs w:val="24"/>
              </w:rPr>
              <w:t>Class 5 – Our policies and procedures</w:t>
            </w:r>
          </w:p>
          <w:p w14:paraId="490DE24F" w14:textId="77777777" w:rsidR="00356E30" w:rsidRPr="00DB65FA" w:rsidRDefault="00356E30" w:rsidP="00544339">
            <w:pPr>
              <w:rPr>
                <w:rFonts w:cstheme="minorHAnsi"/>
                <w:sz w:val="24"/>
                <w:szCs w:val="24"/>
              </w:rPr>
            </w:pPr>
            <w:r w:rsidRPr="00DB65FA">
              <w:rPr>
                <w:rFonts w:cstheme="minorHAnsi"/>
                <w:sz w:val="24"/>
                <w:szCs w:val="24"/>
              </w:rPr>
              <w:t>Current written protocols, policies and procedures for delivering our services and responsibilities</w:t>
            </w:r>
          </w:p>
          <w:p w14:paraId="59252619" w14:textId="04CF23B9" w:rsidR="00356E30" w:rsidRPr="00D1548E" w:rsidRDefault="00356E30" w:rsidP="00D1548E">
            <w:pPr>
              <w:rPr>
                <w:rFonts w:cstheme="minorHAnsi"/>
                <w:i/>
                <w:iCs/>
                <w:sz w:val="24"/>
                <w:szCs w:val="24"/>
              </w:rPr>
            </w:pPr>
            <w:r w:rsidRPr="00F85D2F">
              <w:rPr>
                <w:rFonts w:cstheme="minorHAnsi"/>
                <w:i/>
                <w:iCs/>
                <w:sz w:val="24"/>
                <w:szCs w:val="24"/>
              </w:rPr>
              <w:t>Current information only.</w:t>
            </w:r>
          </w:p>
        </w:tc>
      </w:tr>
      <w:tr w:rsidR="00356E30" w:rsidRPr="00DB65FA" w14:paraId="7418357D" w14:textId="77777777" w:rsidTr="00544339">
        <w:trPr>
          <w:trHeight w:val="363"/>
        </w:trPr>
        <w:tc>
          <w:tcPr>
            <w:tcW w:w="8755" w:type="dxa"/>
            <w:shd w:val="clear" w:color="auto" w:fill="auto"/>
          </w:tcPr>
          <w:p w14:paraId="2F8F7469" w14:textId="77777777" w:rsidR="00356E30" w:rsidRPr="00F85D2F" w:rsidRDefault="00356E30" w:rsidP="00544339">
            <w:pPr>
              <w:rPr>
                <w:rFonts w:cstheme="minorHAnsi"/>
                <w:sz w:val="24"/>
                <w:szCs w:val="24"/>
              </w:rPr>
            </w:pPr>
            <w:r w:rsidRPr="00DB65FA">
              <w:rPr>
                <w:rFonts w:cstheme="minorHAnsi"/>
                <w:sz w:val="24"/>
                <w:szCs w:val="24"/>
              </w:rPr>
              <w:t>Policies and procedures about customer service</w:t>
            </w:r>
          </w:p>
        </w:tc>
        <w:tc>
          <w:tcPr>
            <w:tcW w:w="3714" w:type="dxa"/>
            <w:shd w:val="clear" w:color="auto" w:fill="auto"/>
          </w:tcPr>
          <w:p w14:paraId="2D71B783" w14:textId="2F423202" w:rsidR="00356E30" w:rsidRPr="00DB65FA" w:rsidRDefault="00D1548E" w:rsidP="00544339">
            <w:pPr>
              <w:rPr>
                <w:rFonts w:cstheme="minorHAnsi"/>
                <w:sz w:val="24"/>
                <w:szCs w:val="24"/>
              </w:rPr>
            </w:pPr>
            <w:r>
              <w:rPr>
                <w:rFonts w:cstheme="minorHAnsi"/>
                <w:sz w:val="24"/>
                <w:szCs w:val="24"/>
              </w:rPr>
              <w:t xml:space="preserve">Via email to </w:t>
            </w:r>
            <w:hyperlink r:id="rId27" w:history="1">
              <w:r w:rsidRPr="000764A2">
                <w:rPr>
                  <w:rStyle w:val="Hyperlink"/>
                  <w:rFonts w:cstheme="minorHAnsi"/>
                  <w:sz w:val="24"/>
                  <w:szCs w:val="24"/>
                </w:rPr>
                <w:t>walford.mill@nhs.net</w:t>
              </w:r>
            </w:hyperlink>
            <w:r>
              <w:rPr>
                <w:rFonts w:cstheme="minorHAnsi"/>
                <w:sz w:val="24"/>
                <w:szCs w:val="24"/>
              </w:rPr>
              <w:t xml:space="preserve"> </w:t>
            </w:r>
          </w:p>
        </w:tc>
        <w:tc>
          <w:tcPr>
            <w:tcW w:w="1843" w:type="dxa"/>
            <w:shd w:val="clear" w:color="auto" w:fill="auto"/>
          </w:tcPr>
          <w:p w14:paraId="7E99F9FC" w14:textId="7F6AB35A" w:rsidR="00356E30" w:rsidRPr="00DB65FA" w:rsidRDefault="00D1548E" w:rsidP="00544339">
            <w:pPr>
              <w:rPr>
                <w:rFonts w:cstheme="minorHAnsi"/>
                <w:sz w:val="24"/>
                <w:szCs w:val="24"/>
              </w:rPr>
            </w:pPr>
            <w:r>
              <w:rPr>
                <w:rFonts w:cstheme="minorHAnsi"/>
                <w:sz w:val="24"/>
                <w:szCs w:val="24"/>
              </w:rPr>
              <w:t>0</w:t>
            </w:r>
          </w:p>
        </w:tc>
      </w:tr>
      <w:tr w:rsidR="00356E30" w:rsidRPr="00DB65FA" w14:paraId="2E87DCE4" w14:textId="77777777" w:rsidTr="00544339">
        <w:trPr>
          <w:trHeight w:val="363"/>
        </w:trPr>
        <w:tc>
          <w:tcPr>
            <w:tcW w:w="8755" w:type="dxa"/>
            <w:shd w:val="clear" w:color="auto" w:fill="auto"/>
          </w:tcPr>
          <w:p w14:paraId="5FC8E515" w14:textId="4652FB2C" w:rsidR="00356E30" w:rsidRPr="00DB65FA" w:rsidRDefault="00D1548E" w:rsidP="00544339">
            <w:pPr>
              <w:rPr>
                <w:rFonts w:cstheme="minorHAnsi"/>
                <w:sz w:val="24"/>
                <w:szCs w:val="24"/>
              </w:rPr>
            </w:pPr>
            <w:r w:rsidRPr="00DB65FA">
              <w:rPr>
                <w:rFonts w:cstheme="minorHAnsi"/>
                <w:sz w:val="24"/>
                <w:szCs w:val="24"/>
              </w:rPr>
              <w:t>Policies and procedures about the recruitment and employment of staff</w:t>
            </w:r>
          </w:p>
        </w:tc>
        <w:tc>
          <w:tcPr>
            <w:tcW w:w="3714" w:type="dxa"/>
            <w:shd w:val="clear" w:color="auto" w:fill="auto"/>
          </w:tcPr>
          <w:p w14:paraId="39094D64" w14:textId="15A3A9E7" w:rsidR="00356E30" w:rsidRPr="00DB65FA" w:rsidRDefault="00D1548E" w:rsidP="00544339">
            <w:pPr>
              <w:rPr>
                <w:rFonts w:cstheme="minorHAnsi"/>
                <w:sz w:val="24"/>
                <w:szCs w:val="24"/>
              </w:rPr>
            </w:pPr>
            <w:r>
              <w:rPr>
                <w:rFonts w:cstheme="minorHAnsi"/>
                <w:sz w:val="24"/>
                <w:szCs w:val="24"/>
              </w:rPr>
              <w:t xml:space="preserve">Via email to </w:t>
            </w:r>
            <w:hyperlink r:id="rId28" w:history="1">
              <w:r w:rsidRPr="000764A2">
                <w:rPr>
                  <w:rStyle w:val="Hyperlink"/>
                  <w:rFonts w:cstheme="minorHAnsi"/>
                  <w:sz w:val="24"/>
                  <w:szCs w:val="24"/>
                </w:rPr>
                <w:t>walford.mill@nhs.net</w:t>
              </w:r>
            </w:hyperlink>
            <w:r>
              <w:rPr>
                <w:rFonts w:cstheme="minorHAnsi"/>
                <w:sz w:val="24"/>
                <w:szCs w:val="24"/>
              </w:rPr>
              <w:t xml:space="preserve"> </w:t>
            </w:r>
          </w:p>
        </w:tc>
        <w:tc>
          <w:tcPr>
            <w:tcW w:w="1843" w:type="dxa"/>
            <w:shd w:val="clear" w:color="auto" w:fill="auto"/>
          </w:tcPr>
          <w:p w14:paraId="34EACB59" w14:textId="49DA2D40" w:rsidR="00356E30" w:rsidRPr="00DB65FA" w:rsidRDefault="00D1548E" w:rsidP="00544339">
            <w:pPr>
              <w:rPr>
                <w:rFonts w:cstheme="minorHAnsi"/>
                <w:sz w:val="24"/>
                <w:szCs w:val="24"/>
              </w:rPr>
            </w:pPr>
            <w:r>
              <w:rPr>
                <w:rFonts w:cstheme="minorHAnsi"/>
                <w:sz w:val="24"/>
                <w:szCs w:val="24"/>
              </w:rPr>
              <w:t>0</w:t>
            </w:r>
          </w:p>
        </w:tc>
      </w:tr>
      <w:tr w:rsidR="00356E30" w:rsidRPr="00DB65FA" w14:paraId="2868585F" w14:textId="77777777" w:rsidTr="00544339">
        <w:trPr>
          <w:trHeight w:val="363"/>
        </w:trPr>
        <w:tc>
          <w:tcPr>
            <w:tcW w:w="8755" w:type="dxa"/>
            <w:shd w:val="clear" w:color="auto" w:fill="auto"/>
          </w:tcPr>
          <w:p w14:paraId="7F48EBA4" w14:textId="77777777" w:rsidR="00356E30" w:rsidRPr="00DB65FA" w:rsidRDefault="00356E30" w:rsidP="00544339">
            <w:pPr>
              <w:rPr>
                <w:rFonts w:cstheme="minorHAnsi"/>
                <w:sz w:val="24"/>
                <w:szCs w:val="24"/>
              </w:rPr>
            </w:pPr>
            <w:r w:rsidRPr="00DB65FA">
              <w:rPr>
                <w:rFonts w:cstheme="minorHAnsi"/>
                <w:sz w:val="24"/>
                <w:szCs w:val="24"/>
              </w:rPr>
              <w:t>Equality and diversity policy</w:t>
            </w:r>
          </w:p>
        </w:tc>
        <w:tc>
          <w:tcPr>
            <w:tcW w:w="3714" w:type="dxa"/>
            <w:shd w:val="clear" w:color="auto" w:fill="auto"/>
          </w:tcPr>
          <w:p w14:paraId="2B84DDBA" w14:textId="1F614BDE" w:rsidR="00356E30" w:rsidRPr="00DB65FA" w:rsidRDefault="00D1548E" w:rsidP="00544339">
            <w:pPr>
              <w:rPr>
                <w:rFonts w:cstheme="minorHAnsi"/>
                <w:sz w:val="24"/>
                <w:szCs w:val="24"/>
              </w:rPr>
            </w:pPr>
            <w:r>
              <w:rPr>
                <w:rFonts w:cstheme="minorHAnsi"/>
                <w:sz w:val="24"/>
                <w:szCs w:val="24"/>
              </w:rPr>
              <w:t xml:space="preserve">Via email to </w:t>
            </w:r>
            <w:hyperlink r:id="rId29" w:history="1">
              <w:r w:rsidRPr="000764A2">
                <w:rPr>
                  <w:rStyle w:val="Hyperlink"/>
                  <w:rFonts w:cstheme="minorHAnsi"/>
                  <w:sz w:val="24"/>
                  <w:szCs w:val="24"/>
                </w:rPr>
                <w:t>walfordmill@nhs.net</w:t>
              </w:r>
            </w:hyperlink>
            <w:r>
              <w:rPr>
                <w:rFonts w:cstheme="minorHAnsi"/>
                <w:sz w:val="24"/>
                <w:szCs w:val="24"/>
              </w:rPr>
              <w:t xml:space="preserve"> </w:t>
            </w:r>
          </w:p>
        </w:tc>
        <w:tc>
          <w:tcPr>
            <w:tcW w:w="1843" w:type="dxa"/>
            <w:shd w:val="clear" w:color="auto" w:fill="auto"/>
          </w:tcPr>
          <w:p w14:paraId="233AF8D2" w14:textId="0CC51462" w:rsidR="00356E30" w:rsidRPr="00DB65FA" w:rsidRDefault="00D1548E" w:rsidP="00544339">
            <w:pPr>
              <w:rPr>
                <w:rFonts w:cstheme="minorHAnsi"/>
                <w:sz w:val="24"/>
                <w:szCs w:val="24"/>
              </w:rPr>
            </w:pPr>
            <w:r>
              <w:rPr>
                <w:rFonts w:cstheme="minorHAnsi"/>
                <w:sz w:val="24"/>
                <w:szCs w:val="24"/>
              </w:rPr>
              <w:t>0</w:t>
            </w:r>
          </w:p>
        </w:tc>
      </w:tr>
      <w:tr w:rsidR="00356E30" w:rsidRPr="00DB65FA" w14:paraId="69FED82F" w14:textId="77777777" w:rsidTr="00544339">
        <w:trPr>
          <w:trHeight w:val="363"/>
        </w:trPr>
        <w:tc>
          <w:tcPr>
            <w:tcW w:w="8755" w:type="dxa"/>
            <w:shd w:val="clear" w:color="auto" w:fill="auto"/>
          </w:tcPr>
          <w:p w14:paraId="4613044F" w14:textId="77777777" w:rsidR="00356E30" w:rsidRPr="00DB65FA" w:rsidRDefault="00356E30" w:rsidP="00544339">
            <w:pPr>
              <w:rPr>
                <w:rFonts w:cstheme="minorHAnsi"/>
                <w:sz w:val="24"/>
                <w:szCs w:val="24"/>
              </w:rPr>
            </w:pPr>
            <w:r w:rsidRPr="00DB65FA">
              <w:rPr>
                <w:rFonts w:cstheme="minorHAnsi"/>
                <w:sz w:val="24"/>
                <w:szCs w:val="24"/>
              </w:rPr>
              <w:t>Health and safety policy</w:t>
            </w:r>
          </w:p>
        </w:tc>
        <w:tc>
          <w:tcPr>
            <w:tcW w:w="3714" w:type="dxa"/>
            <w:shd w:val="clear" w:color="auto" w:fill="auto"/>
          </w:tcPr>
          <w:p w14:paraId="629935B2" w14:textId="63A12E1C" w:rsidR="00356E30" w:rsidRPr="00DB65FA" w:rsidRDefault="00D1548E" w:rsidP="00544339">
            <w:pPr>
              <w:rPr>
                <w:rFonts w:cstheme="minorHAnsi"/>
                <w:sz w:val="24"/>
                <w:szCs w:val="24"/>
              </w:rPr>
            </w:pPr>
            <w:r>
              <w:rPr>
                <w:rFonts w:cstheme="minorHAnsi"/>
                <w:sz w:val="24"/>
                <w:szCs w:val="24"/>
              </w:rPr>
              <w:t xml:space="preserve">Via email to </w:t>
            </w:r>
            <w:hyperlink r:id="rId30" w:history="1">
              <w:r w:rsidRPr="000764A2">
                <w:rPr>
                  <w:rStyle w:val="Hyperlink"/>
                  <w:rFonts w:cstheme="minorHAnsi"/>
                  <w:sz w:val="24"/>
                  <w:szCs w:val="24"/>
                </w:rPr>
                <w:t>walfordmill@nhs.net</w:t>
              </w:r>
            </w:hyperlink>
          </w:p>
        </w:tc>
        <w:tc>
          <w:tcPr>
            <w:tcW w:w="1843" w:type="dxa"/>
            <w:shd w:val="clear" w:color="auto" w:fill="auto"/>
          </w:tcPr>
          <w:p w14:paraId="2AADD631" w14:textId="3972C934" w:rsidR="00356E30" w:rsidRPr="00DB65FA" w:rsidRDefault="00D1548E" w:rsidP="00544339">
            <w:pPr>
              <w:rPr>
                <w:rFonts w:cstheme="minorHAnsi"/>
                <w:sz w:val="24"/>
                <w:szCs w:val="24"/>
              </w:rPr>
            </w:pPr>
            <w:r>
              <w:rPr>
                <w:rFonts w:cstheme="minorHAnsi"/>
                <w:sz w:val="24"/>
                <w:szCs w:val="24"/>
              </w:rPr>
              <w:t>0</w:t>
            </w:r>
          </w:p>
        </w:tc>
      </w:tr>
      <w:tr w:rsidR="00356E30" w:rsidRPr="00DB65FA" w14:paraId="47B99D2B" w14:textId="77777777" w:rsidTr="00544339">
        <w:trPr>
          <w:trHeight w:val="363"/>
        </w:trPr>
        <w:tc>
          <w:tcPr>
            <w:tcW w:w="8755" w:type="dxa"/>
            <w:shd w:val="clear" w:color="auto" w:fill="auto"/>
          </w:tcPr>
          <w:p w14:paraId="70B880BA" w14:textId="77777777" w:rsidR="00356E30" w:rsidRPr="00DB65FA" w:rsidRDefault="00356E30" w:rsidP="00544339">
            <w:pPr>
              <w:rPr>
                <w:rFonts w:cstheme="minorHAnsi"/>
                <w:sz w:val="24"/>
                <w:szCs w:val="24"/>
              </w:rPr>
            </w:pPr>
            <w:r w:rsidRPr="00DB65FA">
              <w:rPr>
                <w:rFonts w:cstheme="minorHAnsi"/>
                <w:sz w:val="24"/>
                <w:szCs w:val="24"/>
              </w:rPr>
              <w:t>Complaints procedures (including those covering requests for information and operating the publication scheme)</w:t>
            </w:r>
          </w:p>
        </w:tc>
        <w:tc>
          <w:tcPr>
            <w:tcW w:w="3714" w:type="dxa"/>
            <w:shd w:val="clear" w:color="auto" w:fill="auto"/>
          </w:tcPr>
          <w:p w14:paraId="712F50DC" w14:textId="43F10159" w:rsidR="00356E30" w:rsidRPr="00DB65FA" w:rsidRDefault="00D1548E" w:rsidP="00544339">
            <w:pPr>
              <w:rPr>
                <w:rFonts w:cstheme="minorHAnsi"/>
                <w:sz w:val="24"/>
                <w:szCs w:val="24"/>
              </w:rPr>
            </w:pPr>
            <w:r>
              <w:rPr>
                <w:rFonts w:cstheme="minorHAnsi"/>
                <w:sz w:val="24"/>
                <w:szCs w:val="24"/>
              </w:rPr>
              <w:t xml:space="preserve">Website/hard copy </w:t>
            </w:r>
          </w:p>
        </w:tc>
        <w:tc>
          <w:tcPr>
            <w:tcW w:w="1843" w:type="dxa"/>
            <w:shd w:val="clear" w:color="auto" w:fill="auto"/>
          </w:tcPr>
          <w:p w14:paraId="3F3DFA56" w14:textId="64E717A8" w:rsidR="00356E30" w:rsidRPr="00DB65FA" w:rsidRDefault="00001C99" w:rsidP="00544339">
            <w:pPr>
              <w:rPr>
                <w:rFonts w:cstheme="minorHAnsi"/>
                <w:sz w:val="24"/>
                <w:szCs w:val="24"/>
              </w:rPr>
            </w:pPr>
            <w:r>
              <w:rPr>
                <w:rFonts w:cstheme="minorHAnsi"/>
                <w:sz w:val="24"/>
                <w:szCs w:val="24"/>
              </w:rPr>
              <w:t>0</w:t>
            </w:r>
          </w:p>
        </w:tc>
      </w:tr>
      <w:tr w:rsidR="00356E30" w:rsidRPr="00DB65FA" w14:paraId="1AA1BB37" w14:textId="77777777" w:rsidTr="00544339">
        <w:trPr>
          <w:trHeight w:val="233"/>
        </w:trPr>
        <w:tc>
          <w:tcPr>
            <w:tcW w:w="8755" w:type="dxa"/>
            <w:shd w:val="clear" w:color="auto" w:fill="auto"/>
          </w:tcPr>
          <w:p w14:paraId="36CF51FD" w14:textId="77777777" w:rsidR="00356E30" w:rsidRPr="00DB65FA" w:rsidRDefault="00356E30" w:rsidP="00544339">
            <w:pPr>
              <w:rPr>
                <w:rFonts w:cstheme="minorHAnsi"/>
                <w:sz w:val="24"/>
                <w:szCs w:val="24"/>
              </w:rPr>
            </w:pPr>
            <w:r w:rsidRPr="00DB65FA">
              <w:rPr>
                <w:rFonts w:cstheme="minorHAnsi"/>
                <w:sz w:val="24"/>
                <w:szCs w:val="24"/>
              </w:rPr>
              <w:t>Records management policies (records retention, destruction and archive)</w:t>
            </w:r>
          </w:p>
        </w:tc>
        <w:tc>
          <w:tcPr>
            <w:tcW w:w="3714" w:type="dxa"/>
            <w:shd w:val="clear" w:color="auto" w:fill="auto"/>
          </w:tcPr>
          <w:p w14:paraId="4A8928CE" w14:textId="55CA7CE7" w:rsidR="00356E30" w:rsidRPr="00DB65FA" w:rsidRDefault="00001C99" w:rsidP="00544339">
            <w:pPr>
              <w:rPr>
                <w:rFonts w:cstheme="minorHAnsi"/>
                <w:sz w:val="24"/>
                <w:szCs w:val="24"/>
              </w:rPr>
            </w:pPr>
            <w:r>
              <w:rPr>
                <w:rFonts w:cstheme="minorHAnsi"/>
                <w:sz w:val="24"/>
                <w:szCs w:val="24"/>
              </w:rPr>
              <w:t xml:space="preserve">Via email to </w:t>
            </w:r>
            <w:hyperlink r:id="rId31" w:history="1">
              <w:r w:rsidRPr="000764A2">
                <w:rPr>
                  <w:rStyle w:val="Hyperlink"/>
                  <w:rFonts w:cstheme="minorHAnsi"/>
                  <w:sz w:val="24"/>
                  <w:szCs w:val="24"/>
                </w:rPr>
                <w:t>walfordmill@nhs.net</w:t>
              </w:r>
            </w:hyperlink>
          </w:p>
        </w:tc>
        <w:tc>
          <w:tcPr>
            <w:tcW w:w="1843" w:type="dxa"/>
            <w:shd w:val="clear" w:color="auto" w:fill="auto"/>
          </w:tcPr>
          <w:p w14:paraId="0AEF5522" w14:textId="542685C7" w:rsidR="00356E30" w:rsidRPr="00DB65FA" w:rsidRDefault="00001C99" w:rsidP="00544339">
            <w:pPr>
              <w:rPr>
                <w:rFonts w:cstheme="minorHAnsi"/>
                <w:sz w:val="24"/>
                <w:szCs w:val="24"/>
              </w:rPr>
            </w:pPr>
            <w:r>
              <w:rPr>
                <w:rFonts w:cstheme="minorHAnsi"/>
                <w:sz w:val="24"/>
                <w:szCs w:val="24"/>
              </w:rPr>
              <w:t>0</w:t>
            </w:r>
          </w:p>
        </w:tc>
      </w:tr>
      <w:tr w:rsidR="00356E30" w:rsidRPr="00DB65FA" w14:paraId="47FD3A9F" w14:textId="77777777" w:rsidTr="00544339">
        <w:trPr>
          <w:trHeight w:val="137"/>
        </w:trPr>
        <w:tc>
          <w:tcPr>
            <w:tcW w:w="8755" w:type="dxa"/>
            <w:shd w:val="clear" w:color="auto" w:fill="auto"/>
          </w:tcPr>
          <w:p w14:paraId="4997F9DB" w14:textId="77777777" w:rsidR="00356E30" w:rsidRPr="00DB65FA" w:rsidRDefault="00356E30" w:rsidP="00544339">
            <w:pPr>
              <w:rPr>
                <w:rFonts w:cstheme="minorHAnsi"/>
                <w:sz w:val="24"/>
                <w:szCs w:val="24"/>
              </w:rPr>
            </w:pPr>
            <w:r w:rsidRPr="00DB65FA">
              <w:rPr>
                <w:rFonts w:cstheme="minorHAnsi"/>
                <w:sz w:val="24"/>
                <w:szCs w:val="24"/>
              </w:rPr>
              <w:lastRenderedPageBreak/>
              <w:t xml:space="preserve">Data protection policies </w:t>
            </w:r>
          </w:p>
        </w:tc>
        <w:tc>
          <w:tcPr>
            <w:tcW w:w="3714" w:type="dxa"/>
            <w:shd w:val="clear" w:color="auto" w:fill="auto"/>
          </w:tcPr>
          <w:p w14:paraId="66592E55" w14:textId="305C0BC4" w:rsidR="00356E30" w:rsidRPr="00DB65FA" w:rsidRDefault="00001C99" w:rsidP="00544339">
            <w:pPr>
              <w:rPr>
                <w:rFonts w:cstheme="minorHAnsi"/>
                <w:sz w:val="24"/>
                <w:szCs w:val="24"/>
              </w:rPr>
            </w:pPr>
            <w:r>
              <w:rPr>
                <w:rFonts w:cstheme="minorHAnsi"/>
                <w:sz w:val="24"/>
                <w:szCs w:val="24"/>
              </w:rPr>
              <w:t xml:space="preserve">Website </w:t>
            </w:r>
          </w:p>
        </w:tc>
        <w:tc>
          <w:tcPr>
            <w:tcW w:w="1843" w:type="dxa"/>
            <w:shd w:val="clear" w:color="auto" w:fill="auto"/>
          </w:tcPr>
          <w:p w14:paraId="065362AD" w14:textId="563C242F" w:rsidR="00356E30" w:rsidRPr="00DB65FA" w:rsidRDefault="00001C99" w:rsidP="00544339">
            <w:pPr>
              <w:rPr>
                <w:rFonts w:cstheme="minorHAnsi"/>
                <w:sz w:val="24"/>
                <w:szCs w:val="24"/>
              </w:rPr>
            </w:pPr>
            <w:r>
              <w:rPr>
                <w:rFonts w:cstheme="minorHAnsi"/>
                <w:sz w:val="24"/>
                <w:szCs w:val="24"/>
              </w:rPr>
              <w:t>0</w:t>
            </w:r>
          </w:p>
        </w:tc>
      </w:tr>
      <w:tr w:rsidR="00356E30" w:rsidRPr="00DB65FA" w14:paraId="1EEBAEF0" w14:textId="77777777" w:rsidTr="00544339">
        <w:trPr>
          <w:trHeight w:val="137"/>
        </w:trPr>
        <w:tc>
          <w:tcPr>
            <w:tcW w:w="8755" w:type="dxa"/>
            <w:shd w:val="clear" w:color="auto" w:fill="auto"/>
          </w:tcPr>
          <w:p w14:paraId="58BED34E" w14:textId="77777777" w:rsidR="00356E30" w:rsidRPr="00DB65FA" w:rsidRDefault="00356E30" w:rsidP="00544339">
            <w:pPr>
              <w:rPr>
                <w:rFonts w:cstheme="minorHAnsi"/>
                <w:sz w:val="24"/>
                <w:szCs w:val="24"/>
              </w:rPr>
            </w:pPr>
            <w:r w:rsidRPr="00DB65FA">
              <w:rPr>
                <w:rFonts w:cstheme="minorHAnsi"/>
                <w:sz w:val="24"/>
                <w:szCs w:val="24"/>
              </w:rPr>
              <w:t>Policies and procedures for handling requests for information</w:t>
            </w:r>
          </w:p>
        </w:tc>
        <w:tc>
          <w:tcPr>
            <w:tcW w:w="3714" w:type="dxa"/>
            <w:shd w:val="clear" w:color="auto" w:fill="auto"/>
          </w:tcPr>
          <w:p w14:paraId="2BBD469B" w14:textId="55ABF8A7" w:rsidR="00356E30" w:rsidRPr="00DB65FA" w:rsidRDefault="00001C99" w:rsidP="00544339">
            <w:pPr>
              <w:rPr>
                <w:rFonts w:cstheme="minorHAnsi"/>
                <w:sz w:val="24"/>
                <w:szCs w:val="24"/>
              </w:rPr>
            </w:pPr>
            <w:r>
              <w:rPr>
                <w:rFonts w:cstheme="minorHAnsi"/>
                <w:sz w:val="24"/>
                <w:szCs w:val="24"/>
              </w:rPr>
              <w:t>Website</w:t>
            </w:r>
          </w:p>
        </w:tc>
        <w:tc>
          <w:tcPr>
            <w:tcW w:w="1843" w:type="dxa"/>
            <w:shd w:val="clear" w:color="auto" w:fill="auto"/>
          </w:tcPr>
          <w:p w14:paraId="174A7809" w14:textId="1961CA77" w:rsidR="00356E30" w:rsidRPr="00DB65FA" w:rsidRDefault="00001C99" w:rsidP="00544339">
            <w:pPr>
              <w:rPr>
                <w:rFonts w:cstheme="minorHAnsi"/>
                <w:sz w:val="24"/>
                <w:szCs w:val="24"/>
              </w:rPr>
            </w:pPr>
            <w:r>
              <w:rPr>
                <w:rFonts w:cstheme="minorHAnsi"/>
                <w:sz w:val="24"/>
                <w:szCs w:val="24"/>
              </w:rPr>
              <w:t>0</w:t>
            </w:r>
          </w:p>
        </w:tc>
      </w:tr>
      <w:tr w:rsidR="00356E30" w:rsidRPr="00DB65FA" w14:paraId="077446E9" w14:textId="77777777" w:rsidTr="00544339">
        <w:trPr>
          <w:trHeight w:val="137"/>
        </w:trPr>
        <w:tc>
          <w:tcPr>
            <w:tcW w:w="14312" w:type="dxa"/>
            <w:gridSpan w:val="3"/>
            <w:shd w:val="clear" w:color="auto" w:fill="D9E2F3" w:themeFill="accent1" w:themeFillTint="33"/>
          </w:tcPr>
          <w:p w14:paraId="52A2F378" w14:textId="77777777" w:rsidR="00356E30" w:rsidRPr="00DB65FA" w:rsidRDefault="00356E30" w:rsidP="00544339">
            <w:pPr>
              <w:rPr>
                <w:rFonts w:cstheme="minorHAnsi"/>
                <w:sz w:val="24"/>
                <w:szCs w:val="24"/>
              </w:rPr>
            </w:pPr>
            <w:r w:rsidRPr="00DB65FA">
              <w:rPr>
                <w:rFonts w:cstheme="minorHAnsi"/>
                <w:b/>
                <w:sz w:val="24"/>
                <w:szCs w:val="24"/>
              </w:rPr>
              <w:t>Class 6 – Lists and Registers</w:t>
            </w:r>
          </w:p>
          <w:p w14:paraId="50632AF8" w14:textId="77777777" w:rsidR="00356E30" w:rsidRPr="00F85D2F" w:rsidRDefault="00356E30" w:rsidP="00544339">
            <w:pPr>
              <w:rPr>
                <w:rFonts w:cstheme="minorHAnsi"/>
                <w:i/>
                <w:iCs/>
                <w:sz w:val="24"/>
                <w:szCs w:val="24"/>
              </w:rPr>
            </w:pPr>
            <w:r w:rsidRPr="00F85D2F">
              <w:rPr>
                <w:rFonts w:cstheme="minorHAnsi"/>
                <w:i/>
                <w:iCs/>
                <w:sz w:val="24"/>
                <w:szCs w:val="24"/>
              </w:rPr>
              <w:t>Currently maintained lists and registers only</w:t>
            </w:r>
          </w:p>
        </w:tc>
      </w:tr>
      <w:tr w:rsidR="00356E30" w:rsidRPr="00DB65FA" w14:paraId="71EF7FB0" w14:textId="77777777" w:rsidTr="00544339">
        <w:trPr>
          <w:trHeight w:val="137"/>
        </w:trPr>
        <w:tc>
          <w:tcPr>
            <w:tcW w:w="8755" w:type="dxa"/>
            <w:shd w:val="clear" w:color="auto" w:fill="auto"/>
          </w:tcPr>
          <w:p w14:paraId="12D111D1" w14:textId="67A223A1" w:rsidR="00356E30" w:rsidRPr="00DB65FA" w:rsidRDefault="005E6F12" w:rsidP="00544339">
            <w:pPr>
              <w:rPr>
                <w:rFonts w:cstheme="minorHAnsi"/>
                <w:b/>
                <w:sz w:val="24"/>
                <w:szCs w:val="24"/>
              </w:rPr>
            </w:pPr>
            <w:r>
              <w:rPr>
                <w:rFonts w:cstheme="minorHAnsi"/>
                <w:sz w:val="24"/>
                <w:szCs w:val="24"/>
              </w:rPr>
              <w:t>The ICO recognises</w:t>
            </w:r>
            <w:r w:rsidR="00356E30" w:rsidRPr="00DB65FA">
              <w:rPr>
                <w:rFonts w:cstheme="minorHAnsi"/>
                <w:sz w:val="24"/>
                <w:szCs w:val="24"/>
              </w:rPr>
              <w:t xml:space="preserve"> that it is unlikely that </w:t>
            </w:r>
            <w:r>
              <w:rPr>
                <w:rFonts w:cstheme="minorHAnsi"/>
                <w:sz w:val="24"/>
                <w:szCs w:val="24"/>
              </w:rPr>
              <w:t>Practices</w:t>
            </w:r>
            <w:r w:rsidR="00356E30" w:rsidRPr="00DB65FA">
              <w:rPr>
                <w:rFonts w:cstheme="minorHAnsi"/>
                <w:sz w:val="24"/>
                <w:szCs w:val="24"/>
              </w:rPr>
              <w:t xml:space="preserve"> </w:t>
            </w:r>
            <w:r>
              <w:rPr>
                <w:rFonts w:cstheme="minorHAnsi"/>
                <w:sz w:val="24"/>
                <w:szCs w:val="24"/>
              </w:rPr>
              <w:t>will</w:t>
            </w:r>
            <w:r w:rsidR="00356E30" w:rsidRPr="00DB65FA">
              <w:rPr>
                <w:rFonts w:cstheme="minorHAnsi"/>
                <w:sz w:val="24"/>
                <w:szCs w:val="24"/>
              </w:rPr>
              <w:t xml:space="preserve"> have registers available for public inspection and </w:t>
            </w:r>
            <w:r>
              <w:rPr>
                <w:rFonts w:cstheme="minorHAnsi"/>
                <w:sz w:val="24"/>
                <w:szCs w:val="24"/>
              </w:rPr>
              <w:t>if</w:t>
            </w:r>
            <w:r w:rsidR="00356E30" w:rsidRPr="00DB65FA">
              <w:rPr>
                <w:rFonts w:cstheme="minorHAnsi"/>
                <w:sz w:val="24"/>
                <w:szCs w:val="24"/>
              </w:rPr>
              <w:t xml:space="preserve"> this </w:t>
            </w:r>
            <w:r>
              <w:rPr>
                <w:rFonts w:cstheme="minorHAnsi"/>
                <w:sz w:val="24"/>
                <w:szCs w:val="24"/>
              </w:rPr>
              <w:t>i</w:t>
            </w:r>
            <w:r w:rsidR="00356E30" w:rsidRPr="00DB65FA">
              <w:rPr>
                <w:rFonts w:cstheme="minorHAnsi"/>
                <w:sz w:val="24"/>
                <w:szCs w:val="24"/>
              </w:rPr>
              <w:t>s the case</w:t>
            </w:r>
            <w:r>
              <w:rPr>
                <w:rFonts w:cstheme="minorHAnsi"/>
                <w:sz w:val="24"/>
                <w:szCs w:val="24"/>
              </w:rPr>
              <w:t>,</w:t>
            </w:r>
            <w:r w:rsidR="00356E30" w:rsidRPr="00DB65FA">
              <w:rPr>
                <w:rFonts w:cstheme="minorHAnsi"/>
                <w:sz w:val="24"/>
                <w:szCs w:val="24"/>
              </w:rPr>
              <w:t xml:space="preserve"> “none held” can be entered in this section.</w:t>
            </w:r>
          </w:p>
        </w:tc>
        <w:tc>
          <w:tcPr>
            <w:tcW w:w="3714" w:type="dxa"/>
            <w:shd w:val="clear" w:color="auto" w:fill="auto"/>
          </w:tcPr>
          <w:p w14:paraId="79A5491A" w14:textId="40F88682" w:rsidR="00356E30" w:rsidRPr="00DB65FA" w:rsidRDefault="00001C99" w:rsidP="00544339">
            <w:pPr>
              <w:rPr>
                <w:rFonts w:cstheme="minorHAnsi"/>
                <w:sz w:val="24"/>
                <w:szCs w:val="24"/>
              </w:rPr>
            </w:pPr>
            <w:r>
              <w:rPr>
                <w:rFonts w:cstheme="minorHAnsi"/>
                <w:sz w:val="24"/>
                <w:szCs w:val="24"/>
              </w:rPr>
              <w:t>Non held</w:t>
            </w:r>
          </w:p>
        </w:tc>
        <w:tc>
          <w:tcPr>
            <w:tcW w:w="1843" w:type="dxa"/>
            <w:shd w:val="clear" w:color="auto" w:fill="auto"/>
          </w:tcPr>
          <w:p w14:paraId="54F263E7" w14:textId="194CFEA6" w:rsidR="00356E30" w:rsidRPr="00DB65FA" w:rsidRDefault="00001C99" w:rsidP="00544339">
            <w:pPr>
              <w:rPr>
                <w:rFonts w:cstheme="minorHAnsi"/>
                <w:sz w:val="24"/>
                <w:szCs w:val="24"/>
              </w:rPr>
            </w:pPr>
            <w:r>
              <w:rPr>
                <w:rFonts w:cstheme="minorHAnsi"/>
                <w:sz w:val="24"/>
                <w:szCs w:val="24"/>
              </w:rPr>
              <w:t>0</w:t>
            </w:r>
          </w:p>
        </w:tc>
      </w:tr>
      <w:tr w:rsidR="00356E30" w:rsidRPr="00DB65FA" w14:paraId="3D9BEA79" w14:textId="77777777" w:rsidTr="00544339">
        <w:trPr>
          <w:trHeight w:val="137"/>
        </w:trPr>
        <w:tc>
          <w:tcPr>
            <w:tcW w:w="8755" w:type="dxa"/>
            <w:shd w:val="clear" w:color="auto" w:fill="auto"/>
          </w:tcPr>
          <w:p w14:paraId="0C027CED" w14:textId="77777777" w:rsidR="00356E30" w:rsidRPr="00DB65FA" w:rsidRDefault="00356E30" w:rsidP="00544339">
            <w:pPr>
              <w:rPr>
                <w:rFonts w:cstheme="minorHAnsi"/>
                <w:sz w:val="24"/>
                <w:szCs w:val="24"/>
              </w:rPr>
            </w:pPr>
            <w:r w:rsidRPr="00DB65FA">
              <w:rPr>
                <w:rFonts w:cstheme="minorHAnsi"/>
                <w:sz w:val="24"/>
                <w:szCs w:val="24"/>
              </w:rPr>
              <w:t>Any publicly available register or list (if any are held this should be publicised; in most circumstances existing access provisions will suffice).</w:t>
            </w:r>
          </w:p>
        </w:tc>
        <w:tc>
          <w:tcPr>
            <w:tcW w:w="3714" w:type="dxa"/>
            <w:shd w:val="clear" w:color="auto" w:fill="auto"/>
          </w:tcPr>
          <w:p w14:paraId="567F387C" w14:textId="5490141E" w:rsidR="00356E30" w:rsidRPr="00DB65FA" w:rsidRDefault="00001C99" w:rsidP="00544339">
            <w:pPr>
              <w:rPr>
                <w:rFonts w:cstheme="minorHAnsi"/>
                <w:sz w:val="24"/>
                <w:szCs w:val="24"/>
              </w:rPr>
            </w:pPr>
            <w:r>
              <w:rPr>
                <w:rFonts w:cstheme="minorHAnsi"/>
                <w:sz w:val="24"/>
                <w:szCs w:val="24"/>
              </w:rPr>
              <w:t>Non held</w:t>
            </w:r>
          </w:p>
        </w:tc>
        <w:tc>
          <w:tcPr>
            <w:tcW w:w="1843" w:type="dxa"/>
            <w:shd w:val="clear" w:color="auto" w:fill="auto"/>
          </w:tcPr>
          <w:p w14:paraId="69A6C336" w14:textId="3660ABCD" w:rsidR="00356E30" w:rsidRPr="00DB65FA" w:rsidRDefault="00001C99" w:rsidP="00544339">
            <w:pPr>
              <w:rPr>
                <w:rFonts w:cstheme="minorHAnsi"/>
                <w:sz w:val="24"/>
                <w:szCs w:val="24"/>
              </w:rPr>
            </w:pPr>
            <w:r>
              <w:rPr>
                <w:rFonts w:cstheme="minorHAnsi"/>
                <w:sz w:val="24"/>
                <w:szCs w:val="24"/>
              </w:rPr>
              <w:t>0</w:t>
            </w:r>
          </w:p>
        </w:tc>
      </w:tr>
      <w:tr w:rsidR="00356E30" w:rsidRPr="00DB65FA" w14:paraId="1C87FABE" w14:textId="77777777" w:rsidTr="00544339">
        <w:trPr>
          <w:trHeight w:val="137"/>
        </w:trPr>
        <w:tc>
          <w:tcPr>
            <w:tcW w:w="14312" w:type="dxa"/>
            <w:gridSpan w:val="3"/>
            <w:shd w:val="clear" w:color="auto" w:fill="D9E2F3" w:themeFill="accent1" w:themeFillTint="33"/>
          </w:tcPr>
          <w:p w14:paraId="217F0777" w14:textId="77777777" w:rsidR="00356E30" w:rsidRPr="00DB65FA" w:rsidRDefault="00356E30" w:rsidP="00544339">
            <w:pPr>
              <w:rPr>
                <w:rFonts w:cstheme="minorHAnsi"/>
                <w:sz w:val="24"/>
                <w:szCs w:val="24"/>
              </w:rPr>
            </w:pPr>
            <w:r w:rsidRPr="00DB65FA">
              <w:rPr>
                <w:rFonts w:cstheme="minorHAnsi"/>
                <w:b/>
                <w:sz w:val="24"/>
                <w:szCs w:val="24"/>
              </w:rPr>
              <w:t>Class 7 – The services we offer</w:t>
            </w:r>
          </w:p>
          <w:p w14:paraId="214E1C1A" w14:textId="5E15129F" w:rsidR="00356E30" w:rsidRPr="00DB65FA" w:rsidRDefault="00356E30" w:rsidP="00544339">
            <w:pPr>
              <w:rPr>
                <w:rFonts w:cstheme="minorHAnsi"/>
                <w:sz w:val="24"/>
                <w:szCs w:val="24"/>
              </w:rPr>
            </w:pPr>
            <w:r>
              <w:rPr>
                <w:rFonts w:cstheme="minorHAnsi"/>
                <w:sz w:val="24"/>
                <w:szCs w:val="24"/>
              </w:rPr>
              <w:t>I</w:t>
            </w:r>
            <w:r w:rsidRPr="00DB65FA">
              <w:rPr>
                <w:rFonts w:cstheme="minorHAnsi"/>
                <w:sz w:val="24"/>
                <w:szCs w:val="24"/>
              </w:rPr>
              <w:t xml:space="preserve">nformation about the services </w:t>
            </w:r>
            <w:r w:rsidR="005E6F12">
              <w:rPr>
                <w:rFonts w:cstheme="minorHAnsi"/>
                <w:sz w:val="24"/>
                <w:szCs w:val="24"/>
              </w:rPr>
              <w:t>offered by the Practice</w:t>
            </w:r>
            <w:r w:rsidRPr="00DB65FA">
              <w:rPr>
                <w:rFonts w:cstheme="minorHAnsi"/>
                <w:sz w:val="24"/>
                <w:szCs w:val="24"/>
              </w:rPr>
              <w:t>, including leaflets, guidance and newsletters produced for the public</w:t>
            </w:r>
          </w:p>
          <w:p w14:paraId="4C98C9F1" w14:textId="77777777" w:rsidR="00356E30" w:rsidRPr="00DB65FA" w:rsidRDefault="00356E30" w:rsidP="00544339">
            <w:pPr>
              <w:rPr>
                <w:rFonts w:cstheme="minorHAnsi"/>
                <w:sz w:val="24"/>
                <w:szCs w:val="24"/>
              </w:rPr>
            </w:pPr>
            <w:r w:rsidRPr="00F85D2F">
              <w:rPr>
                <w:rFonts w:cstheme="minorHAnsi"/>
                <w:i/>
                <w:iCs/>
                <w:sz w:val="24"/>
                <w:szCs w:val="24"/>
              </w:rPr>
              <w:t>Current information only</w:t>
            </w:r>
          </w:p>
        </w:tc>
      </w:tr>
      <w:tr w:rsidR="00356E30" w:rsidRPr="00DB65FA" w14:paraId="2E931639" w14:textId="77777777" w:rsidTr="00544339">
        <w:trPr>
          <w:trHeight w:val="137"/>
        </w:trPr>
        <w:tc>
          <w:tcPr>
            <w:tcW w:w="8755" w:type="dxa"/>
            <w:shd w:val="clear" w:color="auto" w:fill="auto"/>
          </w:tcPr>
          <w:p w14:paraId="27AB1CD9" w14:textId="77777777" w:rsidR="00356E30" w:rsidRPr="00DB65FA" w:rsidRDefault="00356E30" w:rsidP="00544339">
            <w:pPr>
              <w:rPr>
                <w:rFonts w:cstheme="minorHAnsi"/>
                <w:sz w:val="24"/>
                <w:szCs w:val="24"/>
              </w:rPr>
            </w:pPr>
            <w:r w:rsidRPr="00DB65FA">
              <w:rPr>
                <w:rFonts w:cstheme="minorHAnsi"/>
                <w:sz w:val="24"/>
                <w:szCs w:val="24"/>
              </w:rPr>
              <w:t>The services provided under contract to the NHS/HSC</w:t>
            </w:r>
          </w:p>
        </w:tc>
        <w:tc>
          <w:tcPr>
            <w:tcW w:w="3714" w:type="dxa"/>
            <w:shd w:val="clear" w:color="auto" w:fill="auto"/>
          </w:tcPr>
          <w:p w14:paraId="6A7E71CB" w14:textId="704D791D" w:rsidR="00356E30" w:rsidRPr="00DB65FA" w:rsidRDefault="00001C99" w:rsidP="00544339">
            <w:pPr>
              <w:rPr>
                <w:rFonts w:cstheme="minorHAnsi"/>
                <w:sz w:val="24"/>
                <w:szCs w:val="24"/>
              </w:rPr>
            </w:pPr>
            <w:r>
              <w:rPr>
                <w:rFonts w:cstheme="minorHAnsi"/>
                <w:sz w:val="24"/>
                <w:szCs w:val="24"/>
              </w:rPr>
              <w:t>Website</w:t>
            </w:r>
          </w:p>
        </w:tc>
        <w:tc>
          <w:tcPr>
            <w:tcW w:w="1843" w:type="dxa"/>
            <w:shd w:val="clear" w:color="auto" w:fill="auto"/>
          </w:tcPr>
          <w:p w14:paraId="0FE06518" w14:textId="447623DF" w:rsidR="00356E30" w:rsidRPr="00DB65FA" w:rsidRDefault="00001C99" w:rsidP="00544339">
            <w:pPr>
              <w:rPr>
                <w:rFonts w:cstheme="minorHAnsi"/>
                <w:sz w:val="24"/>
                <w:szCs w:val="24"/>
              </w:rPr>
            </w:pPr>
            <w:r>
              <w:rPr>
                <w:rFonts w:cstheme="minorHAnsi"/>
                <w:sz w:val="24"/>
                <w:szCs w:val="24"/>
              </w:rPr>
              <w:t>0</w:t>
            </w:r>
          </w:p>
        </w:tc>
      </w:tr>
      <w:tr w:rsidR="00356E30" w:rsidRPr="00DB65FA" w14:paraId="5F4D1FC3" w14:textId="77777777" w:rsidTr="00544339">
        <w:trPr>
          <w:trHeight w:val="137"/>
        </w:trPr>
        <w:tc>
          <w:tcPr>
            <w:tcW w:w="8755" w:type="dxa"/>
            <w:shd w:val="clear" w:color="auto" w:fill="auto"/>
          </w:tcPr>
          <w:p w14:paraId="5BC84DA4" w14:textId="77777777" w:rsidR="00356E30" w:rsidRPr="00DB65FA" w:rsidRDefault="00356E30" w:rsidP="00544339">
            <w:pPr>
              <w:rPr>
                <w:rFonts w:cstheme="minorHAnsi"/>
                <w:sz w:val="24"/>
                <w:szCs w:val="24"/>
              </w:rPr>
            </w:pPr>
            <w:r w:rsidRPr="00DB65FA">
              <w:rPr>
                <w:rFonts w:cstheme="minorHAnsi"/>
                <w:sz w:val="24"/>
                <w:szCs w:val="24"/>
              </w:rPr>
              <w:t>Charges for any of these services</w:t>
            </w:r>
          </w:p>
        </w:tc>
        <w:tc>
          <w:tcPr>
            <w:tcW w:w="3714" w:type="dxa"/>
            <w:shd w:val="clear" w:color="auto" w:fill="auto"/>
          </w:tcPr>
          <w:p w14:paraId="2E576A9D" w14:textId="7398BEA0" w:rsidR="00356E30" w:rsidRPr="00DB65FA" w:rsidRDefault="00001C99" w:rsidP="00544339">
            <w:pPr>
              <w:rPr>
                <w:rFonts w:cstheme="minorHAnsi"/>
                <w:sz w:val="24"/>
                <w:szCs w:val="24"/>
              </w:rPr>
            </w:pPr>
            <w:r>
              <w:rPr>
                <w:rFonts w:cstheme="minorHAnsi"/>
                <w:sz w:val="24"/>
                <w:szCs w:val="24"/>
              </w:rPr>
              <w:t xml:space="preserve">Website </w:t>
            </w:r>
          </w:p>
        </w:tc>
        <w:tc>
          <w:tcPr>
            <w:tcW w:w="1843" w:type="dxa"/>
            <w:shd w:val="clear" w:color="auto" w:fill="auto"/>
          </w:tcPr>
          <w:p w14:paraId="6AA1E14C" w14:textId="45D5FB75" w:rsidR="00356E30" w:rsidRPr="00DB65FA" w:rsidRDefault="00001C99" w:rsidP="00544339">
            <w:pPr>
              <w:rPr>
                <w:rFonts w:cstheme="minorHAnsi"/>
                <w:sz w:val="24"/>
                <w:szCs w:val="24"/>
              </w:rPr>
            </w:pPr>
            <w:r>
              <w:rPr>
                <w:rFonts w:cstheme="minorHAnsi"/>
                <w:sz w:val="24"/>
                <w:szCs w:val="24"/>
              </w:rPr>
              <w:t>0</w:t>
            </w:r>
          </w:p>
        </w:tc>
      </w:tr>
      <w:tr w:rsidR="00356E30" w:rsidRPr="00DB65FA" w14:paraId="1BB40159" w14:textId="77777777" w:rsidTr="00544339">
        <w:trPr>
          <w:trHeight w:val="137"/>
        </w:trPr>
        <w:tc>
          <w:tcPr>
            <w:tcW w:w="8755" w:type="dxa"/>
            <w:shd w:val="clear" w:color="auto" w:fill="auto"/>
          </w:tcPr>
          <w:p w14:paraId="2CC85F0C" w14:textId="77777777" w:rsidR="00356E30" w:rsidRPr="00DB65FA" w:rsidRDefault="00356E30" w:rsidP="00544339">
            <w:pPr>
              <w:rPr>
                <w:rFonts w:cstheme="minorHAnsi"/>
                <w:sz w:val="24"/>
                <w:szCs w:val="24"/>
              </w:rPr>
            </w:pPr>
            <w:r w:rsidRPr="00DB65FA">
              <w:rPr>
                <w:rFonts w:cstheme="minorHAnsi"/>
                <w:sz w:val="24"/>
                <w:szCs w:val="24"/>
              </w:rPr>
              <w:t>Information leaflets</w:t>
            </w:r>
          </w:p>
        </w:tc>
        <w:tc>
          <w:tcPr>
            <w:tcW w:w="3714" w:type="dxa"/>
            <w:shd w:val="clear" w:color="auto" w:fill="auto"/>
          </w:tcPr>
          <w:p w14:paraId="1DF315B8" w14:textId="35101FF5" w:rsidR="00356E30" w:rsidRPr="00DB65FA" w:rsidRDefault="00001C99" w:rsidP="00544339">
            <w:pPr>
              <w:rPr>
                <w:rFonts w:cstheme="minorHAnsi"/>
                <w:sz w:val="24"/>
                <w:szCs w:val="24"/>
              </w:rPr>
            </w:pPr>
            <w:r>
              <w:rPr>
                <w:rFonts w:cstheme="minorHAnsi"/>
                <w:sz w:val="24"/>
                <w:szCs w:val="24"/>
              </w:rPr>
              <w:t xml:space="preserve">Website/Hard copy </w:t>
            </w:r>
          </w:p>
        </w:tc>
        <w:tc>
          <w:tcPr>
            <w:tcW w:w="1843" w:type="dxa"/>
            <w:shd w:val="clear" w:color="auto" w:fill="auto"/>
          </w:tcPr>
          <w:p w14:paraId="1194FCD4" w14:textId="46A6BC04" w:rsidR="00356E30" w:rsidRPr="00DB65FA" w:rsidRDefault="00001C99" w:rsidP="00544339">
            <w:pPr>
              <w:rPr>
                <w:rFonts w:cstheme="minorHAnsi"/>
                <w:sz w:val="24"/>
                <w:szCs w:val="24"/>
              </w:rPr>
            </w:pPr>
            <w:r>
              <w:rPr>
                <w:rFonts w:cstheme="minorHAnsi"/>
                <w:sz w:val="24"/>
                <w:szCs w:val="24"/>
              </w:rPr>
              <w:t>0</w:t>
            </w:r>
          </w:p>
        </w:tc>
      </w:tr>
      <w:tr w:rsidR="00356E30" w:rsidRPr="00DB65FA" w14:paraId="34775611" w14:textId="77777777" w:rsidTr="00544339">
        <w:trPr>
          <w:trHeight w:val="137"/>
        </w:trPr>
        <w:tc>
          <w:tcPr>
            <w:tcW w:w="8755" w:type="dxa"/>
            <w:shd w:val="clear" w:color="auto" w:fill="auto"/>
          </w:tcPr>
          <w:p w14:paraId="63A46CE0" w14:textId="77777777" w:rsidR="00356E30" w:rsidRPr="00DB65FA" w:rsidRDefault="00356E30" w:rsidP="00544339">
            <w:pPr>
              <w:rPr>
                <w:rFonts w:cstheme="minorHAnsi"/>
                <w:sz w:val="24"/>
                <w:szCs w:val="24"/>
              </w:rPr>
            </w:pPr>
            <w:r w:rsidRPr="00DB65FA">
              <w:rPr>
                <w:rFonts w:cstheme="minorHAnsi"/>
                <w:sz w:val="24"/>
                <w:szCs w:val="24"/>
              </w:rPr>
              <w:t>Out of hours arrangements</w:t>
            </w:r>
          </w:p>
        </w:tc>
        <w:tc>
          <w:tcPr>
            <w:tcW w:w="3714" w:type="dxa"/>
            <w:shd w:val="clear" w:color="auto" w:fill="auto"/>
          </w:tcPr>
          <w:p w14:paraId="35F1BA66" w14:textId="2A66CB8F" w:rsidR="00356E30" w:rsidRPr="00DB65FA" w:rsidRDefault="00001C99" w:rsidP="00544339">
            <w:pPr>
              <w:rPr>
                <w:rFonts w:cstheme="minorHAnsi"/>
                <w:sz w:val="24"/>
                <w:szCs w:val="24"/>
              </w:rPr>
            </w:pPr>
            <w:r>
              <w:rPr>
                <w:rFonts w:cstheme="minorHAnsi"/>
                <w:sz w:val="24"/>
                <w:szCs w:val="24"/>
              </w:rPr>
              <w:t xml:space="preserve">Website </w:t>
            </w:r>
          </w:p>
        </w:tc>
        <w:tc>
          <w:tcPr>
            <w:tcW w:w="1843" w:type="dxa"/>
            <w:shd w:val="clear" w:color="auto" w:fill="auto"/>
          </w:tcPr>
          <w:p w14:paraId="1588998C" w14:textId="449C05F7" w:rsidR="00356E30" w:rsidRPr="00DB65FA" w:rsidRDefault="00001C99" w:rsidP="00544339">
            <w:pPr>
              <w:rPr>
                <w:rFonts w:cstheme="minorHAnsi"/>
                <w:sz w:val="24"/>
                <w:szCs w:val="24"/>
              </w:rPr>
            </w:pPr>
            <w:r>
              <w:rPr>
                <w:rFonts w:cstheme="minorHAnsi"/>
                <w:sz w:val="24"/>
                <w:szCs w:val="24"/>
              </w:rPr>
              <w:t>0</w:t>
            </w:r>
          </w:p>
        </w:tc>
      </w:tr>
    </w:tbl>
    <w:p w14:paraId="301C5210" w14:textId="77777777" w:rsidR="00356E30" w:rsidRPr="00DB65FA" w:rsidRDefault="00356E30" w:rsidP="00356E30">
      <w:pPr>
        <w:rPr>
          <w:rFonts w:cstheme="minorHAnsi"/>
          <w:color w:val="4472C4" w:themeColor="accent1"/>
          <w:sz w:val="24"/>
          <w:szCs w:val="24"/>
        </w:rPr>
      </w:pPr>
    </w:p>
    <w:p w14:paraId="2B7B16F8" w14:textId="77777777" w:rsidR="00356E30" w:rsidRDefault="00356E30" w:rsidP="00273668">
      <w:pPr>
        <w:pStyle w:val="Heading1"/>
        <w:numPr>
          <w:ilvl w:val="0"/>
          <w:numId w:val="0"/>
        </w:numPr>
        <w:sectPr w:rsidR="00356E30" w:rsidSect="00D8706A">
          <w:pgSz w:w="16838" w:h="11906" w:orient="landscape"/>
          <w:pgMar w:top="1710" w:right="1440" w:bottom="1440" w:left="1440" w:header="850" w:footer="708" w:gutter="0"/>
          <w:cols w:space="708"/>
          <w:docGrid w:linePitch="360"/>
        </w:sectPr>
      </w:pPr>
    </w:p>
    <w:p w14:paraId="53AD76A5" w14:textId="579E1F73" w:rsidR="00356E30" w:rsidRPr="00285D51" w:rsidRDefault="00285D51" w:rsidP="00285D51">
      <w:pPr>
        <w:pStyle w:val="Title"/>
        <w:rPr>
          <w:color w:val="4472C4" w:themeColor="accent1"/>
        </w:rPr>
      </w:pPr>
      <w:r w:rsidRPr="00285D51">
        <w:rPr>
          <w:color w:val="4472C4" w:themeColor="accent1"/>
        </w:rPr>
        <w:lastRenderedPageBreak/>
        <w:t>PART TWO – PROCEDURAL GUIDANCE</w:t>
      </w:r>
    </w:p>
    <w:p w14:paraId="682959F7" w14:textId="77777777" w:rsidR="00285D51" w:rsidRPr="00285D51" w:rsidRDefault="00285D51" w:rsidP="00285D51">
      <w:pPr>
        <w:spacing w:after="0"/>
        <w:rPr>
          <w:color w:val="4472C4" w:themeColor="accent1"/>
        </w:rPr>
      </w:pPr>
    </w:p>
    <w:p w14:paraId="14E7E770" w14:textId="03EFCE54" w:rsidR="00142937" w:rsidRPr="00273668" w:rsidRDefault="00142937" w:rsidP="009F065D">
      <w:pPr>
        <w:pStyle w:val="Heading1"/>
        <w:numPr>
          <w:ilvl w:val="0"/>
          <w:numId w:val="42"/>
        </w:numPr>
      </w:pPr>
      <w:r w:rsidRPr="00DB65FA">
        <w:t>receiving a request</w:t>
      </w:r>
    </w:p>
    <w:p w14:paraId="6999A265" w14:textId="346E3D2D" w:rsidR="00142937" w:rsidRPr="000274FE" w:rsidRDefault="00142937" w:rsidP="00544339">
      <w:pPr>
        <w:pStyle w:val="Heading2"/>
        <w:rPr>
          <w:sz w:val="24"/>
          <w:szCs w:val="24"/>
        </w:rPr>
      </w:pPr>
      <w:r w:rsidRPr="000274FE">
        <w:rPr>
          <w:sz w:val="24"/>
          <w:szCs w:val="24"/>
        </w:rPr>
        <w:t xml:space="preserve">Anyone has a right to request information from a public authority. </w:t>
      </w:r>
      <w:r w:rsidR="00285D51" w:rsidRPr="000274FE">
        <w:rPr>
          <w:sz w:val="24"/>
          <w:szCs w:val="24"/>
        </w:rPr>
        <w:t xml:space="preserve"> </w:t>
      </w:r>
      <w:r w:rsidRPr="000274FE">
        <w:rPr>
          <w:sz w:val="24"/>
          <w:szCs w:val="24"/>
        </w:rPr>
        <w:t xml:space="preserve">When responding to those requests, public authorities must: </w:t>
      </w:r>
    </w:p>
    <w:p w14:paraId="45F7E49E" w14:textId="3A784EA7" w:rsidR="00142937" w:rsidRPr="000274FE" w:rsidRDefault="00285D51" w:rsidP="005422D2">
      <w:pPr>
        <w:pStyle w:val="ListBullet3"/>
        <w:rPr>
          <w:sz w:val="24"/>
          <w:szCs w:val="24"/>
        </w:rPr>
      </w:pPr>
      <w:r w:rsidRPr="000274FE">
        <w:rPr>
          <w:sz w:val="24"/>
          <w:szCs w:val="24"/>
        </w:rPr>
        <w:t>t</w:t>
      </w:r>
      <w:r w:rsidR="00142937" w:rsidRPr="000274FE">
        <w:rPr>
          <w:sz w:val="24"/>
          <w:szCs w:val="24"/>
        </w:rPr>
        <w:t>ell the applicant whether they hold the information falling within the scope of their request; and</w:t>
      </w:r>
    </w:p>
    <w:p w14:paraId="520A58C4" w14:textId="11552608" w:rsidR="00142937" w:rsidRPr="000274FE" w:rsidRDefault="00285D51" w:rsidP="005422D2">
      <w:pPr>
        <w:pStyle w:val="ListBullet3"/>
        <w:rPr>
          <w:sz w:val="24"/>
          <w:szCs w:val="24"/>
        </w:rPr>
      </w:pPr>
      <w:r w:rsidRPr="000274FE">
        <w:rPr>
          <w:sz w:val="24"/>
          <w:szCs w:val="24"/>
        </w:rPr>
        <w:t>p</w:t>
      </w:r>
      <w:r w:rsidR="00142937" w:rsidRPr="000274FE">
        <w:rPr>
          <w:sz w:val="24"/>
          <w:szCs w:val="24"/>
        </w:rPr>
        <w:t>rovide that information</w:t>
      </w:r>
      <w:r w:rsidRPr="000274FE">
        <w:rPr>
          <w:sz w:val="24"/>
          <w:szCs w:val="24"/>
        </w:rPr>
        <w:t>.</w:t>
      </w:r>
    </w:p>
    <w:p w14:paraId="71FC2919" w14:textId="61F5AFAC" w:rsidR="00142937" w:rsidRPr="000274FE" w:rsidRDefault="00142937" w:rsidP="00544339">
      <w:pPr>
        <w:pStyle w:val="Heading2"/>
        <w:rPr>
          <w:sz w:val="24"/>
          <w:szCs w:val="24"/>
        </w:rPr>
      </w:pPr>
      <w:r w:rsidRPr="000274FE">
        <w:rPr>
          <w:sz w:val="24"/>
          <w:szCs w:val="24"/>
        </w:rPr>
        <w:t>For a request to be valid under the Freedom of Information Act</w:t>
      </w:r>
      <w:r w:rsidR="00285D51" w:rsidRPr="000274FE">
        <w:rPr>
          <w:sz w:val="24"/>
          <w:szCs w:val="24"/>
        </w:rPr>
        <w:t>,</w:t>
      </w:r>
      <w:r w:rsidRPr="000274FE">
        <w:rPr>
          <w:sz w:val="24"/>
          <w:szCs w:val="24"/>
        </w:rPr>
        <w:t xml:space="preserve"> it must be in writing, but requesters do not have to mention the Act or direct their request to a designated member of staff. </w:t>
      </w:r>
      <w:r w:rsidR="00285D51" w:rsidRPr="000274FE">
        <w:rPr>
          <w:sz w:val="24"/>
          <w:szCs w:val="24"/>
        </w:rPr>
        <w:t xml:space="preserve"> </w:t>
      </w:r>
      <w:r w:rsidRPr="000274FE">
        <w:rPr>
          <w:sz w:val="24"/>
          <w:szCs w:val="24"/>
        </w:rPr>
        <w:t xml:space="preserve">It is good practice to provide the contact details of a designated individual, if you have one, but you cannot ignore or refuse a request simply because it is addressed to a different member of staff. </w:t>
      </w:r>
      <w:r w:rsidR="00285D51" w:rsidRPr="000274FE">
        <w:rPr>
          <w:sz w:val="24"/>
          <w:szCs w:val="24"/>
        </w:rPr>
        <w:t xml:space="preserve"> </w:t>
      </w:r>
      <w:r w:rsidRPr="000274FE">
        <w:rPr>
          <w:sz w:val="24"/>
          <w:szCs w:val="24"/>
        </w:rPr>
        <w:t xml:space="preserve">Any letter or email to a public authority asking for information is a request for recorded information under the Act. </w:t>
      </w:r>
      <w:r w:rsidR="00285D51" w:rsidRPr="000274FE">
        <w:rPr>
          <w:sz w:val="24"/>
          <w:szCs w:val="24"/>
        </w:rPr>
        <w:t xml:space="preserve"> </w:t>
      </w:r>
      <w:r w:rsidRPr="000274FE">
        <w:rPr>
          <w:sz w:val="24"/>
          <w:szCs w:val="24"/>
        </w:rPr>
        <w:t>The Practice has 20 working days to respon</w:t>
      </w:r>
      <w:r w:rsidR="00285D51" w:rsidRPr="000274FE">
        <w:rPr>
          <w:sz w:val="24"/>
          <w:szCs w:val="24"/>
        </w:rPr>
        <w:t>d</w:t>
      </w:r>
      <w:r w:rsidRPr="000274FE">
        <w:rPr>
          <w:sz w:val="24"/>
          <w:szCs w:val="24"/>
        </w:rPr>
        <w:t xml:space="preserve"> to requests.</w:t>
      </w:r>
    </w:p>
    <w:p w14:paraId="71C19260" w14:textId="77777777" w:rsidR="00142937" w:rsidRPr="000274FE" w:rsidRDefault="00142937" w:rsidP="00544339">
      <w:pPr>
        <w:pStyle w:val="Heading2"/>
        <w:rPr>
          <w:sz w:val="24"/>
          <w:szCs w:val="24"/>
        </w:rPr>
      </w:pPr>
      <w:r w:rsidRPr="000274FE">
        <w:rPr>
          <w:sz w:val="24"/>
          <w:szCs w:val="24"/>
        </w:rPr>
        <w:t>Requests are valid under the FOIA if they:</w:t>
      </w:r>
    </w:p>
    <w:p w14:paraId="2A19551A" w14:textId="6B5185B2" w:rsidR="00142937" w:rsidRPr="000274FE" w:rsidRDefault="00285D51" w:rsidP="005422D2">
      <w:pPr>
        <w:pStyle w:val="ListBullet3"/>
        <w:rPr>
          <w:sz w:val="24"/>
          <w:szCs w:val="24"/>
        </w:rPr>
      </w:pPr>
      <w:r w:rsidRPr="000274FE">
        <w:rPr>
          <w:sz w:val="24"/>
          <w:szCs w:val="24"/>
        </w:rPr>
        <w:t>a</w:t>
      </w:r>
      <w:r w:rsidR="00142937" w:rsidRPr="000274FE">
        <w:rPr>
          <w:sz w:val="24"/>
          <w:szCs w:val="24"/>
        </w:rPr>
        <w:t>re in writing</w:t>
      </w:r>
      <w:r w:rsidRPr="000274FE">
        <w:rPr>
          <w:sz w:val="24"/>
          <w:szCs w:val="24"/>
        </w:rPr>
        <w:t>;</w:t>
      </w:r>
      <w:r w:rsidR="00142937" w:rsidRPr="000274FE">
        <w:rPr>
          <w:sz w:val="24"/>
          <w:szCs w:val="24"/>
        </w:rPr>
        <w:t xml:space="preserve"> this could be a letter, email, or request via the web including social networking </w:t>
      </w:r>
      <w:proofErr w:type="gramStart"/>
      <w:r w:rsidR="00142937" w:rsidRPr="000274FE">
        <w:rPr>
          <w:sz w:val="24"/>
          <w:szCs w:val="24"/>
        </w:rPr>
        <w:t>sites;</w:t>
      </w:r>
      <w:proofErr w:type="gramEnd"/>
    </w:p>
    <w:p w14:paraId="28E29366" w14:textId="0845466A" w:rsidR="00142937" w:rsidRPr="000274FE" w:rsidRDefault="00285D51" w:rsidP="005422D2">
      <w:pPr>
        <w:pStyle w:val="ListBullet3"/>
        <w:rPr>
          <w:sz w:val="24"/>
          <w:szCs w:val="24"/>
        </w:rPr>
      </w:pPr>
      <w:r w:rsidRPr="000274FE">
        <w:rPr>
          <w:sz w:val="24"/>
          <w:szCs w:val="24"/>
        </w:rPr>
        <w:t>i</w:t>
      </w:r>
      <w:r w:rsidR="00142937" w:rsidRPr="000274FE">
        <w:rPr>
          <w:sz w:val="24"/>
          <w:szCs w:val="24"/>
        </w:rPr>
        <w:t>nclude the request</w:t>
      </w:r>
      <w:r w:rsidRPr="000274FE">
        <w:rPr>
          <w:sz w:val="24"/>
          <w:szCs w:val="24"/>
        </w:rPr>
        <w:t>e</w:t>
      </w:r>
      <w:r w:rsidR="00142937" w:rsidRPr="000274FE">
        <w:rPr>
          <w:sz w:val="24"/>
          <w:szCs w:val="24"/>
        </w:rPr>
        <w:t>r</w:t>
      </w:r>
      <w:r w:rsidRPr="000274FE">
        <w:rPr>
          <w:sz w:val="24"/>
          <w:szCs w:val="24"/>
        </w:rPr>
        <w:t>’</w:t>
      </w:r>
      <w:r w:rsidR="00142937" w:rsidRPr="000274FE">
        <w:rPr>
          <w:sz w:val="24"/>
          <w:szCs w:val="24"/>
        </w:rPr>
        <w:t xml:space="preserve">s real name. </w:t>
      </w:r>
      <w:r w:rsidRPr="000274FE">
        <w:rPr>
          <w:sz w:val="24"/>
          <w:szCs w:val="24"/>
        </w:rPr>
        <w:t xml:space="preserve"> </w:t>
      </w:r>
      <w:r w:rsidR="00142937" w:rsidRPr="000274FE">
        <w:rPr>
          <w:sz w:val="24"/>
          <w:szCs w:val="24"/>
        </w:rPr>
        <w:t>The Act treats all request</w:t>
      </w:r>
      <w:r w:rsidRPr="000274FE">
        <w:rPr>
          <w:sz w:val="24"/>
          <w:szCs w:val="24"/>
        </w:rPr>
        <w:t>e</w:t>
      </w:r>
      <w:r w:rsidR="00142937" w:rsidRPr="000274FE">
        <w:rPr>
          <w:sz w:val="24"/>
          <w:szCs w:val="24"/>
        </w:rPr>
        <w:t xml:space="preserve">rs the same so you should not normally seek to verify the requester’s identity. </w:t>
      </w:r>
      <w:r w:rsidRPr="000274FE">
        <w:rPr>
          <w:sz w:val="24"/>
          <w:szCs w:val="24"/>
        </w:rPr>
        <w:t xml:space="preserve"> </w:t>
      </w:r>
      <w:r w:rsidR="00142937" w:rsidRPr="000274FE">
        <w:rPr>
          <w:sz w:val="24"/>
          <w:szCs w:val="24"/>
        </w:rPr>
        <w:t>However, you may decide to check their identity if it is clear they are using a pseudonym (e.g. Minnie Mouse, Harry Potter)</w:t>
      </w:r>
      <w:r w:rsidRPr="000274FE">
        <w:rPr>
          <w:sz w:val="24"/>
          <w:szCs w:val="24"/>
        </w:rPr>
        <w:t>,</w:t>
      </w:r>
      <w:r w:rsidR="00142937" w:rsidRPr="000274FE">
        <w:rPr>
          <w:sz w:val="24"/>
          <w:szCs w:val="24"/>
        </w:rPr>
        <w:t xml:space="preserve"> or if there are legitimate grounds for refusing their request and you suspect they are trying to avoid this happening, for example</w:t>
      </w:r>
      <w:r w:rsidRPr="000274FE">
        <w:rPr>
          <w:sz w:val="24"/>
          <w:szCs w:val="24"/>
        </w:rPr>
        <w:t>,</w:t>
      </w:r>
      <w:r w:rsidR="00142937" w:rsidRPr="000274FE">
        <w:rPr>
          <w:sz w:val="24"/>
          <w:szCs w:val="24"/>
        </w:rPr>
        <w:t xml:space="preserve"> because their request is vexatious or repeated. </w:t>
      </w:r>
      <w:r w:rsidRPr="000274FE">
        <w:rPr>
          <w:sz w:val="24"/>
          <w:szCs w:val="24"/>
        </w:rPr>
        <w:t xml:space="preserve"> </w:t>
      </w:r>
      <w:r w:rsidR="00142937" w:rsidRPr="000274FE">
        <w:rPr>
          <w:sz w:val="24"/>
          <w:szCs w:val="24"/>
        </w:rPr>
        <w:t xml:space="preserve">Remember that a request can be made in the name of an organisation, or by one person on behalf of another, such as a solicitor on behalf of a </w:t>
      </w:r>
      <w:proofErr w:type="gramStart"/>
      <w:r w:rsidR="00142937" w:rsidRPr="000274FE">
        <w:rPr>
          <w:sz w:val="24"/>
          <w:szCs w:val="24"/>
        </w:rPr>
        <w:t>client;</w:t>
      </w:r>
      <w:proofErr w:type="gramEnd"/>
    </w:p>
    <w:p w14:paraId="173D7870" w14:textId="47231651" w:rsidR="00142937" w:rsidRPr="000274FE" w:rsidRDefault="00285D51" w:rsidP="005422D2">
      <w:pPr>
        <w:pStyle w:val="ListBullet3"/>
        <w:rPr>
          <w:sz w:val="24"/>
          <w:szCs w:val="24"/>
        </w:rPr>
      </w:pPr>
      <w:r w:rsidRPr="000274FE">
        <w:rPr>
          <w:sz w:val="24"/>
          <w:szCs w:val="24"/>
        </w:rPr>
        <w:t>i</w:t>
      </w:r>
      <w:r w:rsidR="00142937" w:rsidRPr="000274FE">
        <w:rPr>
          <w:sz w:val="24"/>
          <w:szCs w:val="24"/>
        </w:rPr>
        <w:t xml:space="preserve">nclude an address for correspondence. </w:t>
      </w:r>
      <w:r w:rsidRPr="000274FE">
        <w:rPr>
          <w:sz w:val="24"/>
          <w:szCs w:val="24"/>
        </w:rPr>
        <w:t xml:space="preserve"> </w:t>
      </w:r>
      <w:r w:rsidR="00142937" w:rsidRPr="000274FE">
        <w:rPr>
          <w:sz w:val="24"/>
          <w:szCs w:val="24"/>
        </w:rPr>
        <w:t>This need not be the person’s residential or work address</w:t>
      </w:r>
      <w:r w:rsidRPr="000274FE">
        <w:rPr>
          <w:sz w:val="24"/>
          <w:szCs w:val="24"/>
        </w:rPr>
        <w:t xml:space="preserve">, </w:t>
      </w:r>
      <w:r w:rsidR="00142937" w:rsidRPr="000274FE">
        <w:rPr>
          <w:sz w:val="24"/>
          <w:szCs w:val="24"/>
        </w:rPr>
        <w:t xml:space="preserve">it can be any address at which you can write to them, including a postal address or email </w:t>
      </w:r>
      <w:proofErr w:type="gramStart"/>
      <w:r w:rsidR="00142937" w:rsidRPr="000274FE">
        <w:rPr>
          <w:sz w:val="24"/>
          <w:szCs w:val="24"/>
        </w:rPr>
        <w:t>address;</w:t>
      </w:r>
      <w:proofErr w:type="gramEnd"/>
    </w:p>
    <w:p w14:paraId="2C4225FF" w14:textId="54CB20CC" w:rsidR="00142937" w:rsidRPr="000274FE" w:rsidRDefault="00285D51" w:rsidP="005422D2">
      <w:pPr>
        <w:pStyle w:val="ListBullet3"/>
        <w:rPr>
          <w:sz w:val="24"/>
          <w:szCs w:val="24"/>
        </w:rPr>
      </w:pPr>
      <w:r w:rsidRPr="000274FE">
        <w:rPr>
          <w:sz w:val="24"/>
          <w:szCs w:val="24"/>
        </w:rPr>
        <w:t>d</w:t>
      </w:r>
      <w:r w:rsidR="00142937" w:rsidRPr="000274FE">
        <w:rPr>
          <w:sz w:val="24"/>
          <w:szCs w:val="24"/>
        </w:rPr>
        <w:t>escribe the information requested.</w:t>
      </w:r>
      <w:r w:rsidRPr="000274FE">
        <w:rPr>
          <w:sz w:val="24"/>
          <w:szCs w:val="24"/>
        </w:rPr>
        <w:t xml:space="preserve"> </w:t>
      </w:r>
      <w:r w:rsidR="00142937" w:rsidRPr="000274FE">
        <w:rPr>
          <w:sz w:val="24"/>
          <w:szCs w:val="24"/>
        </w:rPr>
        <w:t xml:space="preserve"> Any genuine attempt to describe the information will be enough to trigger the Act, even if the description is unclear, or you think it is too broad or unreasonable in some way. </w:t>
      </w:r>
      <w:r w:rsidRPr="000274FE">
        <w:rPr>
          <w:sz w:val="24"/>
          <w:szCs w:val="24"/>
        </w:rPr>
        <w:t xml:space="preserve"> </w:t>
      </w:r>
      <w:r w:rsidR="00142937" w:rsidRPr="000274FE">
        <w:rPr>
          <w:sz w:val="24"/>
          <w:szCs w:val="24"/>
        </w:rPr>
        <w:t xml:space="preserve">The Act covers information, not documents, so a requester does not have to ask for a specific document (although they may do so). </w:t>
      </w:r>
      <w:r w:rsidRPr="000274FE">
        <w:rPr>
          <w:sz w:val="24"/>
          <w:szCs w:val="24"/>
        </w:rPr>
        <w:t xml:space="preserve"> </w:t>
      </w:r>
      <w:r w:rsidR="00142937" w:rsidRPr="000274FE">
        <w:rPr>
          <w:sz w:val="24"/>
          <w:szCs w:val="24"/>
        </w:rPr>
        <w:t>They can, for example, ask about a specific topic</w:t>
      </w:r>
      <w:r w:rsidRPr="000274FE">
        <w:rPr>
          <w:sz w:val="24"/>
          <w:szCs w:val="24"/>
        </w:rPr>
        <w:t>,</w:t>
      </w:r>
      <w:r w:rsidR="00142937" w:rsidRPr="000274FE">
        <w:rPr>
          <w:sz w:val="24"/>
          <w:szCs w:val="24"/>
        </w:rPr>
        <w:t xml:space="preserve"> and expect you to gather the relevant information to answer their enquiry. </w:t>
      </w:r>
      <w:r w:rsidRPr="000274FE">
        <w:rPr>
          <w:sz w:val="24"/>
          <w:szCs w:val="24"/>
        </w:rPr>
        <w:t xml:space="preserve"> </w:t>
      </w:r>
      <w:proofErr w:type="gramStart"/>
      <w:r w:rsidR="00142937" w:rsidRPr="000274FE">
        <w:rPr>
          <w:sz w:val="24"/>
          <w:szCs w:val="24"/>
        </w:rPr>
        <w:t>Or</w:t>
      </w:r>
      <w:r w:rsidRPr="000274FE">
        <w:rPr>
          <w:sz w:val="24"/>
          <w:szCs w:val="24"/>
        </w:rPr>
        <w:t>,</w:t>
      </w:r>
      <w:proofErr w:type="gramEnd"/>
      <w:r w:rsidR="00142937" w:rsidRPr="000274FE">
        <w:rPr>
          <w:sz w:val="24"/>
          <w:szCs w:val="24"/>
        </w:rPr>
        <w:t xml:space="preserve"> they might describe other features of the information (e.g. author, date or type of document).</w:t>
      </w:r>
    </w:p>
    <w:p w14:paraId="00B88227" w14:textId="2FAC1A28" w:rsidR="00142937" w:rsidRPr="000274FE" w:rsidRDefault="00142937" w:rsidP="00544339">
      <w:pPr>
        <w:pStyle w:val="Heading2"/>
        <w:rPr>
          <w:sz w:val="24"/>
          <w:szCs w:val="24"/>
        </w:rPr>
      </w:pPr>
      <w:r w:rsidRPr="000274FE">
        <w:rPr>
          <w:sz w:val="24"/>
          <w:szCs w:val="24"/>
        </w:rPr>
        <w:t xml:space="preserve">The bar for a valid request is not a high one to meet, and almost anything in writing which asks for information will count as a request under the Act, even if it does not specifically mention to Act itself. </w:t>
      </w:r>
      <w:r w:rsidR="00285D51" w:rsidRPr="000274FE">
        <w:rPr>
          <w:sz w:val="24"/>
          <w:szCs w:val="24"/>
        </w:rPr>
        <w:t xml:space="preserve"> </w:t>
      </w:r>
      <w:r w:rsidRPr="000274FE">
        <w:rPr>
          <w:sz w:val="24"/>
          <w:szCs w:val="24"/>
          <w:shd w:val="clear" w:color="auto" w:fill="FFFFFF"/>
        </w:rPr>
        <w:t xml:space="preserve">This doesn’t mean the Practice has to treat every enquiry as a </w:t>
      </w:r>
      <w:r w:rsidR="00285D51" w:rsidRPr="000274FE">
        <w:rPr>
          <w:sz w:val="24"/>
          <w:szCs w:val="24"/>
          <w:shd w:val="clear" w:color="auto" w:fill="FFFFFF"/>
        </w:rPr>
        <w:t xml:space="preserve">formal </w:t>
      </w:r>
      <w:r w:rsidRPr="000274FE">
        <w:rPr>
          <w:sz w:val="24"/>
          <w:szCs w:val="24"/>
          <w:shd w:val="clear" w:color="auto" w:fill="FFFFFF"/>
        </w:rPr>
        <w:lastRenderedPageBreak/>
        <w:t xml:space="preserve">request under the Act. </w:t>
      </w:r>
      <w:r w:rsidR="00285D51" w:rsidRPr="000274FE">
        <w:rPr>
          <w:sz w:val="24"/>
          <w:szCs w:val="24"/>
          <w:shd w:val="clear" w:color="auto" w:fill="FFFFFF"/>
        </w:rPr>
        <w:t xml:space="preserve"> </w:t>
      </w:r>
      <w:r w:rsidRPr="000274FE">
        <w:rPr>
          <w:sz w:val="24"/>
          <w:szCs w:val="24"/>
          <w:shd w:val="clear" w:color="auto" w:fill="FFFFFF"/>
        </w:rPr>
        <w:t xml:space="preserve">It will often be </w:t>
      </w:r>
      <w:r w:rsidR="00285D51" w:rsidRPr="000274FE">
        <w:rPr>
          <w:sz w:val="24"/>
          <w:szCs w:val="24"/>
          <w:shd w:val="clear" w:color="auto" w:fill="FFFFFF"/>
        </w:rPr>
        <w:t>sensible</w:t>
      </w:r>
      <w:r w:rsidRPr="000274FE">
        <w:rPr>
          <w:sz w:val="24"/>
          <w:szCs w:val="24"/>
          <w:shd w:val="clear" w:color="auto" w:fill="FFFFFF"/>
        </w:rPr>
        <w:t xml:space="preserve"> to deal with some enquiries informally. </w:t>
      </w:r>
      <w:r w:rsidR="00285D51" w:rsidRPr="000274FE">
        <w:rPr>
          <w:sz w:val="24"/>
          <w:szCs w:val="24"/>
          <w:shd w:val="clear" w:color="auto" w:fill="FFFFFF"/>
        </w:rPr>
        <w:t xml:space="preserve"> </w:t>
      </w:r>
      <w:r w:rsidRPr="000274FE">
        <w:rPr>
          <w:sz w:val="24"/>
          <w:szCs w:val="24"/>
        </w:rPr>
        <w:t>The provisions of the Act need to come into force only if:</w:t>
      </w:r>
    </w:p>
    <w:p w14:paraId="4165D5D4" w14:textId="77777777" w:rsidR="00142937" w:rsidRPr="000274FE" w:rsidRDefault="00142937" w:rsidP="005422D2">
      <w:pPr>
        <w:pStyle w:val="ListBullet3"/>
        <w:rPr>
          <w:sz w:val="24"/>
          <w:szCs w:val="24"/>
          <w:lang w:eastAsia="en-GB"/>
        </w:rPr>
      </w:pPr>
      <w:r w:rsidRPr="000274FE">
        <w:rPr>
          <w:sz w:val="24"/>
          <w:szCs w:val="24"/>
          <w:lang w:eastAsia="en-GB"/>
        </w:rPr>
        <w:t>you cannot provide the requested information straight away; or</w:t>
      </w:r>
    </w:p>
    <w:p w14:paraId="7AC900AD" w14:textId="77777777" w:rsidR="00142937" w:rsidRPr="000274FE" w:rsidRDefault="00142937" w:rsidP="005422D2">
      <w:pPr>
        <w:pStyle w:val="ListBullet3"/>
        <w:rPr>
          <w:sz w:val="24"/>
          <w:szCs w:val="24"/>
          <w:lang w:eastAsia="en-GB"/>
        </w:rPr>
      </w:pPr>
      <w:r w:rsidRPr="000274FE">
        <w:rPr>
          <w:sz w:val="24"/>
          <w:szCs w:val="24"/>
          <w:lang w:eastAsia="en-GB"/>
        </w:rPr>
        <w:t>the requester makes it clear they expect a response under the Act.</w:t>
      </w:r>
    </w:p>
    <w:p w14:paraId="0C2BF046" w14:textId="2630EFD5" w:rsidR="00142937" w:rsidRPr="000274FE" w:rsidRDefault="00142937" w:rsidP="005422D2">
      <w:pPr>
        <w:pStyle w:val="Heading2"/>
        <w:rPr>
          <w:sz w:val="24"/>
          <w:szCs w:val="24"/>
          <w:shd w:val="clear" w:color="auto" w:fill="FFFFFF"/>
        </w:rPr>
      </w:pPr>
      <w:r w:rsidRPr="000274FE">
        <w:rPr>
          <w:sz w:val="24"/>
          <w:szCs w:val="24"/>
          <w:shd w:val="clear" w:color="auto" w:fill="FFFFFF"/>
        </w:rPr>
        <w:t xml:space="preserve">Even if a request is not valid under the Freedom of Information Act, this does not mean it can be ignored. </w:t>
      </w:r>
      <w:r w:rsidR="007B5E30" w:rsidRPr="000274FE">
        <w:rPr>
          <w:sz w:val="24"/>
          <w:szCs w:val="24"/>
          <w:shd w:val="clear" w:color="auto" w:fill="FFFFFF"/>
        </w:rPr>
        <w:t xml:space="preserve"> </w:t>
      </w:r>
      <w:r w:rsidRPr="000274FE">
        <w:rPr>
          <w:sz w:val="24"/>
          <w:szCs w:val="24"/>
          <w:shd w:val="clear" w:color="auto" w:fill="FFFFFF"/>
        </w:rPr>
        <w:t xml:space="preserve">Requests for ‘environmental information’, for example, can be made verbally. </w:t>
      </w:r>
      <w:r w:rsidR="007B5E30" w:rsidRPr="000274FE">
        <w:rPr>
          <w:sz w:val="24"/>
          <w:szCs w:val="24"/>
          <w:shd w:val="clear" w:color="auto" w:fill="FFFFFF"/>
        </w:rPr>
        <w:t xml:space="preserve"> </w:t>
      </w:r>
      <w:r w:rsidRPr="000274FE">
        <w:rPr>
          <w:sz w:val="24"/>
          <w:szCs w:val="24"/>
          <w:shd w:val="clear" w:color="auto" w:fill="FFFFFF"/>
        </w:rPr>
        <w:t>The Practice also has an obligation to provide advice and assistance to requesters.</w:t>
      </w:r>
      <w:r w:rsidR="007B5E30" w:rsidRPr="000274FE">
        <w:rPr>
          <w:sz w:val="24"/>
          <w:szCs w:val="24"/>
          <w:shd w:val="clear" w:color="auto" w:fill="FFFFFF"/>
        </w:rPr>
        <w:t xml:space="preserve"> </w:t>
      </w:r>
      <w:r w:rsidRPr="000274FE">
        <w:rPr>
          <w:sz w:val="24"/>
          <w:szCs w:val="24"/>
          <w:shd w:val="clear" w:color="auto" w:fill="FFFFFF"/>
        </w:rPr>
        <w:t xml:space="preserve"> Where somebody seems to be requesting information but has failed to make a valid freedom of information request, the Practice should draw their attention to their rights under the Act and tell them how to make a valid request.</w:t>
      </w:r>
    </w:p>
    <w:p w14:paraId="0CAD77FD" w14:textId="2A8D6A12" w:rsidR="00142937" w:rsidRPr="000274FE" w:rsidRDefault="00142937" w:rsidP="005422D2">
      <w:pPr>
        <w:pStyle w:val="Heading2"/>
        <w:rPr>
          <w:sz w:val="24"/>
          <w:szCs w:val="24"/>
          <w:shd w:val="clear" w:color="auto" w:fill="FFFFFF"/>
        </w:rPr>
      </w:pPr>
      <w:r w:rsidRPr="000274FE">
        <w:rPr>
          <w:sz w:val="24"/>
          <w:szCs w:val="24"/>
          <w:shd w:val="clear" w:color="auto" w:fill="FFFFFF"/>
        </w:rPr>
        <w:t>Questions can be a valid request for information.</w:t>
      </w:r>
      <w:r w:rsidR="007B5E30" w:rsidRPr="000274FE">
        <w:rPr>
          <w:sz w:val="24"/>
          <w:szCs w:val="24"/>
          <w:shd w:val="clear" w:color="auto" w:fill="FFFFFF"/>
        </w:rPr>
        <w:t xml:space="preserve"> </w:t>
      </w:r>
      <w:r w:rsidRPr="000274FE">
        <w:rPr>
          <w:sz w:val="24"/>
          <w:szCs w:val="24"/>
          <w:shd w:val="clear" w:color="auto" w:fill="FFFFFF"/>
        </w:rPr>
        <w:t xml:space="preserve"> It is important to be aware of this so that you can identify requests and send them promptly to the correct person.</w:t>
      </w:r>
      <w:r w:rsidRPr="000274FE">
        <w:rPr>
          <w:sz w:val="24"/>
          <w:szCs w:val="24"/>
        </w:rPr>
        <w:t xml:space="preserve"> </w:t>
      </w:r>
      <w:r w:rsidR="007B5E30" w:rsidRPr="000274FE">
        <w:rPr>
          <w:sz w:val="24"/>
          <w:szCs w:val="24"/>
        </w:rPr>
        <w:t xml:space="preserve"> </w:t>
      </w:r>
      <w:r w:rsidRPr="000274FE">
        <w:rPr>
          <w:sz w:val="24"/>
          <w:szCs w:val="24"/>
        </w:rPr>
        <w:t xml:space="preserve">Under the Act, if you have information in your records that answers the question, it should be provided in response to the request. </w:t>
      </w:r>
      <w:r w:rsidR="007B5E30" w:rsidRPr="000274FE">
        <w:rPr>
          <w:sz w:val="24"/>
          <w:szCs w:val="24"/>
        </w:rPr>
        <w:t xml:space="preserve"> </w:t>
      </w:r>
      <w:r w:rsidRPr="000274FE">
        <w:rPr>
          <w:sz w:val="24"/>
          <w:szCs w:val="24"/>
        </w:rPr>
        <w:t xml:space="preserve">The Practice is not required to answer a question if the relevant information is not already in a recorded form. </w:t>
      </w:r>
    </w:p>
    <w:p w14:paraId="75E0CE1E" w14:textId="2A833BFC" w:rsidR="00142937" w:rsidRPr="000274FE" w:rsidRDefault="00142937" w:rsidP="005422D2">
      <w:pPr>
        <w:pStyle w:val="Heading2"/>
        <w:rPr>
          <w:sz w:val="24"/>
          <w:szCs w:val="24"/>
          <w:shd w:val="clear" w:color="auto" w:fill="FFFFFF"/>
        </w:rPr>
      </w:pPr>
      <w:r w:rsidRPr="000274FE">
        <w:rPr>
          <w:sz w:val="24"/>
          <w:szCs w:val="24"/>
        </w:rPr>
        <w:t xml:space="preserve">It can be difficult to answer questions asked under FOIA. </w:t>
      </w:r>
      <w:r w:rsidR="007B5E30" w:rsidRPr="000274FE">
        <w:rPr>
          <w:sz w:val="24"/>
          <w:szCs w:val="24"/>
        </w:rPr>
        <w:t xml:space="preserve"> </w:t>
      </w:r>
      <w:r w:rsidRPr="000274FE">
        <w:rPr>
          <w:sz w:val="24"/>
          <w:szCs w:val="24"/>
        </w:rPr>
        <w:t xml:space="preserve">Many of those who ask questions just want a simple answer, not all the recorded information you hold. </w:t>
      </w:r>
      <w:r w:rsidR="007B5E30" w:rsidRPr="000274FE">
        <w:rPr>
          <w:sz w:val="24"/>
          <w:szCs w:val="24"/>
        </w:rPr>
        <w:t xml:space="preserve"> </w:t>
      </w:r>
      <w:r w:rsidRPr="000274FE">
        <w:rPr>
          <w:sz w:val="24"/>
          <w:szCs w:val="24"/>
        </w:rPr>
        <w:t xml:space="preserve">It can be frustrating for applicants to receive a formal response under the Act stating that you hold no recorded information, when this doesn’t answer their simple question. </w:t>
      </w:r>
      <w:r w:rsidR="007B5E30" w:rsidRPr="000274FE">
        <w:rPr>
          <w:sz w:val="24"/>
          <w:szCs w:val="24"/>
        </w:rPr>
        <w:t xml:space="preserve"> </w:t>
      </w:r>
      <w:r w:rsidRPr="000274FE">
        <w:rPr>
          <w:sz w:val="24"/>
          <w:szCs w:val="24"/>
        </w:rPr>
        <w:t>However, requesters do have a right to all the relevant recorded information you hold, and some may be equally frustrated with a less formal approach and fail</w:t>
      </w:r>
      <w:r w:rsidR="007B5E30" w:rsidRPr="000274FE">
        <w:rPr>
          <w:sz w:val="24"/>
          <w:szCs w:val="24"/>
        </w:rPr>
        <w:t>ure</w:t>
      </w:r>
      <w:r w:rsidRPr="000274FE">
        <w:rPr>
          <w:sz w:val="24"/>
          <w:szCs w:val="24"/>
        </w:rPr>
        <w:t xml:space="preserve"> to provide recorded information.</w:t>
      </w:r>
    </w:p>
    <w:p w14:paraId="4C50515B" w14:textId="33459F1C" w:rsidR="00142937" w:rsidRPr="000274FE" w:rsidRDefault="00142937" w:rsidP="005422D2">
      <w:pPr>
        <w:pStyle w:val="Heading2"/>
        <w:rPr>
          <w:sz w:val="24"/>
          <w:szCs w:val="24"/>
          <w:shd w:val="clear" w:color="auto" w:fill="FFFFFF"/>
        </w:rPr>
      </w:pPr>
      <w:r w:rsidRPr="000274FE">
        <w:rPr>
          <w:sz w:val="24"/>
          <w:szCs w:val="24"/>
          <w:shd w:val="clear" w:color="auto" w:fill="FFFFFF"/>
        </w:rPr>
        <w:t xml:space="preserve">The best way is usually to speak to the applicant, explain to them how the Act works, and find out what they want. </w:t>
      </w:r>
      <w:r w:rsidR="007B5E30" w:rsidRPr="000274FE">
        <w:rPr>
          <w:sz w:val="24"/>
          <w:szCs w:val="24"/>
          <w:shd w:val="clear" w:color="auto" w:fill="FFFFFF"/>
        </w:rPr>
        <w:t xml:space="preserve"> </w:t>
      </w:r>
      <w:r w:rsidR="00C325A2" w:rsidRPr="000274FE">
        <w:rPr>
          <w:sz w:val="24"/>
          <w:szCs w:val="24"/>
          <w:shd w:val="clear" w:color="auto" w:fill="FFFFFF"/>
        </w:rPr>
        <w:t>It should be remembered</w:t>
      </w:r>
      <w:r w:rsidRPr="000274FE">
        <w:rPr>
          <w:sz w:val="24"/>
          <w:szCs w:val="24"/>
          <w:shd w:val="clear" w:color="auto" w:fill="FFFFFF"/>
        </w:rPr>
        <w:t xml:space="preserve"> that even though the Act requires recorded information</w:t>
      </w:r>
      <w:r w:rsidR="00C325A2" w:rsidRPr="000274FE">
        <w:rPr>
          <w:sz w:val="24"/>
          <w:szCs w:val="24"/>
          <w:shd w:val="clear" w:color="auto" w:fill="FFFFFF"/>
        </w:rPr>
        <w:t xml:space="preserve"> to be provided</w:t>
      </w:r>
      <w:r w:rsidRPr="000274FE">
        <w:rPr>
          <w:sz w:val="24"/>
          <w:szCs w:val="24"/>
          <w:shd w:val="clear" w:color="auto" w:fill="FFFFFF"/>
        </w:rPr>
        <w:t xml:space="preserve">, this doesn’t prevent answers or explanations </w:t>
      </w:r>
      <w:r w:rsidR="00C325A2" w:rsidRPr="000274FE">
        <w:rPr>
          <w:sz w:val="24"/>
          <w:szCs w:val="24"/>
          <w:shd w:val="clear" w:color="auto" w:fill="FFFFFF"/>
        </w:rPr>
        <w:t xml:space="preserve">being provided </w:t>
      </w:r>
      <w:r w:rsidRPr="000274FE">
        <w:rPr>
          <w:sz w:val="24"/>
          <w:szCs w:val="24"/>
          <w:shd w:val="clear" w:color="auto" w:fill="FFFFFF"/>
        </w:rPr>
        <w:t>as well, as a matter of normal customer service.</w:t>
      </w:r>
    </w:p>
    <w:p w14:paraId="404DDEA9" w14:textId="4FF81D99" w:rsidR="00142937" w:rsidRPr="000274FE" w:rsidRDefault="00142937" w:rsidP="005422D2">
      <w:pPr>
        <w:pStyle w:val="Heading2"/>
        <w:rPr>
          <w:sz w:val="24"/>
          <w:szCs w:val="24"/>
          <w:shd w:val="clear" w:color="auto" w:fill="FFFFFF"/>
        </w:rPr>
      </w:pPr>
      <w:r w:rsidRPr="000274FE">
        <w:rPr>
          <w:sz w:val="24"/>
          <w:szCs w:val="24"/>
          <w:shd w:val="clear" w:color="auto" w:fill="FFFFFF"/>
        </w:rPr>
        <w:t>The Practice can deal with many requests by providing the requested information in the normal course of business.</w:t>
      </w:r>
      <w:r w:rsidR="007B5E30" w:rsidRPr="000274FE">
        <w:rPr>
          <w:sz w:val="24"/>
          <w:szCs w:val="24"/>
          <w:shd w:val="clear" w:color="auto" w:fill="FFFFFF"/>
        </w:rPr>
        <w:t xml:space="preserve"> </w:t>
      </w:r>
      <w:r w:rsidRPr="000274FE">
        <w:rPr>
          <w:sz w:val="24"/>
          <w:szCs w:val="24"/>
          <w:shd w:val="clear" w:color="auto" w:fill="FFFFFF"/>
        </w:rPr>
        <w:t xml:space="preserve"> If the information is included in the publication scheme, it should be given out </w:t>
      </w:r>
      <w:proofErr w:type="gramStart"/>
      <w:r w:rsidRPr="000274FE">
        <w:rPr>
          <w:sz w:val="24"/>
          <w:szCs w:val="24"/>
          <w:shd w:val="clear" w:color="auto" w:fill="FFFFFF"/>
        </w:rPr>
        <w:t>automatically, or</w:t>
      </w:r>
      <w:proofErr w:type="gramEnd"/>
      <w:r w:rsidRPr="000274FE">
        <w:rPr>
          <w:sz w:val="24"/>
          <w:szCs w:val="24"/>
          <w:shd w:val="clear" w:color="auto" w:fill="FFFFFF"/>
        </w:rPr>
        <w:t xml:space="preserve"> provide a link to where the information can be accessed.</w:t>
      </w:r>
      <w:r w:rsidR="007B5E30" w:rsidRPr="000274FE">
        <w:rPr>
          <w:sz w:val="24"/>
          <w:szCs w:val="24"/>
          <w:shd w:val="clear" w:color="auto" w:fill="FFFFFF"/>
        </w:rPr>
        <w:t xml:space="preserve"> </w:t>
      </w:r>
      <w:r w:rsidRPr="000274FE">
        <w:rPr>
          <w:sz w:val="24"/>
          <w:szCs w:val="24"/>
          <w:shd w:val="clear" w:color="auto" w:fill="FFFFFF"/>
        </w:rPr>
        <w:t xml:space="preserve"> </w:t>
      </w:r>
      <w:r w:rsidRPr="000274FE">
        <w:rPr>
          <w:sz w:val="24"/>
          <w:szCs w:val="24"/>
        </w:rPr>
        <w:t>If the Practice needs to deal with a request more formally, it is important to identify the relevant legislation:</w:t>
      </w:r>
    </w:p>
    <w:p w14:paraId="0663C1A1" w14:textId="0D6B9E99" w:rsidR="00142937" w:rsidRPr="000274FE" w:rsidRDefault="007B5E30" w:rsidP="005422D2">
      <w:pPr>
        <w:pStyle w:val="ListBullet3"/>
        <w:rPr>
          <w:sz w:val="24"/>
          <w:szCs w:val="24"/>
          <w:lang w:eastAsia="en-GB"/>
        </w:rPr>
      </w:pPr>
      <w:r w:rsidRPr="000274FE">
        <w:rPr>
          <w:sz w:val="24"/>
          <w:szCs w:val="24"/>
          <w:lang w:eastAsia="en-GB"/>
        </w:rPr>
        <w:t>i</w:t>
      </w:r>
      <w:r w:rsidR="00142937" w:rsidRPr="000274FE">
        <w:rPr>
          <w:sz w:val="24"/>
          <w:szCs w:val="24"/>
          <w:lang w:eastAsia="en-GB"/>
        </w:rPr>
        <w:t xml:space="preserve">f the person is asking for their own personal data, you should deal with it as a data protection subject access </w:t>
      </w:r>
      <w:proofErr w:type="gramStart"/>
      <w:r w:rsidR="00142937" w:rsidRPr="000274FE">
        <w:rPr>
          <w:sz w:val="24"/>
          <w:szCs w:val="24"/>
          <w:lang w:eastAsia="en-GB"/>
        </w:rPr>
        <w:t>request</w:t>
      </w:r>
      <w:r w:rsidRPr="000274FE">
        <w:rPr>
          <w:sz w:val="24"/>
          <w:szCs w:val="24"/>
          <w:lang w:eastAsia="en-GB"/>
        </w:rPr>
        <w:t>;</w:t>
      </w:r>
      <w:proofErr w:type="gramEnd"/>
    </w:p>
    <w:p w14:paraId="3C07F4DC" w14:textId="206D57BA" w:rsidR="00142937" w:rsidRPr="000274FE" w:rsidRDefault="007B5E30" w:rsidP="005422D2">
      <w:pPr>
        <w:pStyle w:val="ListBullet3"/>
        <w:rPr>
          <w:sz w:val="24"/>
          <w:szCs w:val="24"/>
          <w:lang w:eastAsia="en-GB"/>
        </w:rPr>
      </w:pPr>
      <w:r w:rsidRPr="000274FE">
        <w:rPr>
          <w:sz w:val="24"/>
          <w:szCs w:val="24"/>
          <w:lang w:eastAsia="en-GB"/>
        </w:rPr>
        <w:t>i</w:t>
      </w:r>
      <w:r w:rsidR="00142937" w:rsidRPr="000274FE">
        <w:rPr>
          <w:sz w:val="24"/>
          <w:szCs w:val="24"/>
          <w:lang w:eastAsia="en-GB"/>
        </w:rPr>
        <w:t>f the person is asking for ‘environmental information’, the request is covered by the Environmental Information Regulations 2004.</w:t>
      </w:r>
    </w:p>
    <w:p w14:paraId="18497EAE" w14:textId="5CD3E4B9" w:rsidR="00142937" w:rsidRPr="000274FE" w:rsidRDefault="00142937" w:rsidP="005422D2">
      <w:pPr>
        <w:pStyle w:val="Heading2"/>
        <w:rPr>
          <w:sz w:val="24"/>
          <w:szCs w:val="24"/>
          <w:lang w:eastAsia="en-GB"/>
        </w:rPr>
      </w:pPr>
      <w:r w:rsidRPr="000274FE">
        <w:rPr>
          <w:sz w:val="24"/>
          <w:szCs w:val="24"/>
          <w:shd w:val="clear" w:color="auto" w:fill="FFFFFF"/>
        </w:rPr>
        <w:t>Any other non-routine request for information the Practice holds should be dealt with under the Freedom of Information Act.</w:t>
      </w:r>
    </w:p>
    <w:p w14:paraId="568D9C1F" w14:textId="3D08A652" w:rsidR="00142937" w:rsidRPr="000274FE" w:rsidRDefault="00142937" w:rsidP="005422D2">
      <w:pPr>
        <w:pStyle w:val="Heading2"/>
        <w:rPr>
          <w:sz w:val="24"/>
          <w:szCs w:val="24"/>
          <w:lang w:eastAsia="en-GB"/>
        </w:rPr>
      </w:pPr>
      <w:r w:rsidRPr="000274FE">
        <w:rPr>
          <w:sz w:val="24"/>
          <w:szCs w:val="24"/>
          <w:shd w:val="clear" w:color="auto" w:fill="FFFFFF"/>
        </w:rPr>
        <w:t xml:space="preserve">The main obligation under the Act is to respond to requests promptly, with a time limit acting as the longest time to take. </w:t>
      </w:r>
      <w:r w:rsidR="007B5E30" w:rsidRPr="000274FE">
        <w:rPr>
          <w:sz w:val="24"/>
          <w:szCs w:val="24"/>
          <w:shd w:val="clear" w:color="auto" w:fill="FFFFFF"/>
        </w:rPr>
        <w:t xml:space="preserve"> </w:t>
      </w:r>
      <w:r w:rsidRPr="000274FE">
        <w:rPr>
          <w:sz w:val="24"/>
          <w:szCs w:val="24"/>
          <w:shd w:val="clear" w:color="auto" w:fill="FFFFFF"/>
        </w:rPr>
        <w:t xml:space="preserve">Under the Act, most public authorities may take up to </w:t>
      </w:r>
      <w:r w:rsidRPr="000274FE">
        <w:rPr>
          <w:sz w:val="24"/>
          <w:szCs w:val="24"/>
          <w:shd w:val="clear" w:color="auto" w:fill="FFFFFF"/>
        </w:rPr>
        <w:lastRenderedPageBreak/>
        <w:t xml:space="preserve">20 working days to respond, counting the first working day after the request is received as the first day. </w:t>
      </w:r>
      <w:r w:rsidR="007B5E30" w:rsidRPr="000274FE">
        <w:rPr>
          <w:sz w:val="24"/>
          <w:szCs w:val="24"/>
          <w:shd w:val="clear" w:color="auto" w:fill="FFFFFF"/>
        </w:rPr>
        <w:t xml:space="preserve"> </w:t>
      </w:r>
      <w:r w:rsidRPr="000274FE">
        <w:rPr>
          <w:sz w:val="24"/>
          <w:szCs w:val="24"/>
          <w:shd w:val="clear" w:color="auto" w:fill="FFFFFF"/>
        </w:rPr>
        <w:t xml:space="preserve">Certain circumstances may allow extra time. </w:t>
      </w:r>
      <w:r w:rsidR="007B5E30" w:rsidRPr="000274FE">
        <w:rPr>
          <w:sz w:val="24"/>
          <w:szCs w:val="24"/>
          <w:shd w:val="clear" w:color="auto" w:fill="FFFFFF"/>
        </w:rPr>
        <w:t xml:space="preserve"> </w:t>
      </w:r>
      <w:r w:rsidRPr="000274FE">
        <w:rPr>
          <w:sz w:val="24"/>
          <w:szCs w:val="24"/>
          <w:shd w:val="clear" w:color="auto" w:fill="FFFFFF"/>
        </w:rPr>
        <w:t xml:space="preserve">However, in all cases you must give the requester a written response within the standard time limit for compliance. </w:t>
      </w:r>
    </w:p>
    <w:p w14:paraId="11AB32F9" w14:textId="39043E31" w:rsidR="00142937" w:rsidRPr="000274FE" w:rsidRDefault="00142937" w:rsidP="005422D2">
      <w:pPr>
        <w:pStyle w:val="Heading2"/>
        <w:rPr>
          <w:sz w:val="24"/>
          <w:szCs w:val="24"/>
          <w:lang w:eastAsia="en-GB"/>
        </w:rPr>
      </w:pPr>
      <w:r w:rsidRPr="000274FE">
        <w:rPr>
          <w:sz w:val="24"/>
          <w:szCs w:val="24"/>
        </w:rPr>
        <w:t xml:space="preserve">Requests are often ambiguous, with many potential interpretations, or no clear meaning at all. </w:t>
      </w:r>
      <w:r w:rsidR="007B5E30" w:rsidRPr="000274FE">
        <w:rPr>
          <w:sz w:val="24"/>
          <w:szCs w:val="24"/>
        </w:rPr>
        <w:t xml:space="preserve"> </w:t>
      </w:r>
      <w:r w:rsidRPr="000274FE">
        <w:rPr>
          <w:sz w:val="24"/>
          <w:szCs w:val="24"/>
        </w:rPr>
        <w:t xml:space="preserve">If </w:t>
      </w:r>
      <w:r w:rsidR="007B5E30" w:rsidRPr="000274FE">
        <w:rPr>
          <w:sz w:val="24"/>
          <w:szCs w:val="24"/>
        </w:rPr>
        <w:t>the Practice is unable to</w:t>
      </w:r>
      <w:r w:rsidRPr="000274FE">
        <w:rPr>
          <w:sz w:val="24"/>
          <w:szCs w:val="24"/>
        </w:rPr>
        <w:t xml:space="preserve"> answer the request because </w:t>
      </w:r>
      <w:r w:rsidR="007B5E30" w:rsidRPr="000274FE">
        <w:rPr>
          <w:sz w:val="24"/>
          <w:szCs w:val="24"/>
        </w:rPr>
        <w:t>they</w:t>
      </w:r>
      <w:r w:rsidRPr="000274FE">
        <w:rPr>
          <w:sz w:val="24"/>
          <w:szCs w:val="24"/>
        </w:rPr>
        <w:t xml:space="preserve"> are </w:t>
      </w:r>
      <w:r w:rsidR="007B5E30" w:rsidRPr="000274FE">
        <w:rPr>
          <w:sz w:val="24"/>
          <w:szCs w:val="24"/>
        </w:rPr>
        <w:t>un</w:t>
      </w:r>
      <w:r w:rsidRPr="000274FE">
        <w:rPr>
          <w:sz w:val="24"/>
          <w:szCs w:val="24"/>
        </w:rPr>
        <w:t xml:space="preserve">sure </w:t>
      </w:r>
      <w:r w:rsidR="007B5E30" w:rsidRPr="000274FE">
        <w:rPr>
          <w:sz w:val="24"/>
          <w:szCs w:val="24"/>
        </w:rPr>
        <w:t xml:space="preserve">of </w:t>
      </w:r>
      <w:r w:rsidRPr="000274FE">
        <w:rPr>
          <w:sz w:val="24"/>
          <w:szCs w:val="24"/>
        </w:rPr>
        <w:t xml:space="preserve">what is being requested, the requester </w:t>
      </w:r>
      <w:r w:rsidR="00C325A2" w:rsidRPr="000274FE">
        <w:rPr>
          <w:sz w:val="24"/>
          <w:szCs w:val="24"/>
        </w:rPr>
        <w:t xml:space="preserve">must be contacted </w:t>
      </w:r>
      <w:r w:rsidRPr="000274FE">
        <w:rPr>
          <w:sz w:val="24"/>
          <w:szCs w:val="24"/>
        </w:rPr>
        <w:t>as soon as possible for clarification.</w:t>
      </w:r>
    </w:p>
    <w:p w14:paraId="6FCF2889" w14:textId="5FDF1681" w:rsidR="00142937" w:rsidRPr="000274FE" w:rsidRDefault="00142937" w:rsidP="005422D2">
      <w:pPr>
        <w:pStyle w:val="Heading2"/>
        <w:rPr>
          <w:sz w:val="24"/>
          <w:szCs w:val="24"/>
          <w:lang w:eastAsia="en-GB"/>
        </w:rPr>
      </w:pPr>
      <w:r w:rsidRPr="000274FE">
        <w:rPr>
          <w:sz w:val="24"/>
          <w:szCs w:val="24"/>
        </w:rPr>
        <w:t xml:space="preserve">The Practice does not have to deal with the request until clarification has been received. </w:t>
      </w:r>
      <w:r w:rsidR="007B5E30" w:rsidRPr="000274FE">
        <w:rPr>
          <w:sz w:val="24"/>
          <w:szCs w:val="24"/>
        </w:rPr>
        <w:t xml:space="preserve"> </w:t>
      </w:r>
      <w:r w:rsidRPr="000274FE">
        <w:rPr>
          <w:sz w:val="24"/>
          <w:szCs w:val="24"/>
        </w:rPr>
        <w:t xml:space="preserve">However, the Practice must consider whether the requester </w:t>
      </w:r>
      <w:r w:rsidR="007B5E30" w:rsidRPr="000274FE">
        <w:rPr>
          <w:sz w:val="24"/>
          <w:szCs w:val="24"/>
        </w:rPr>
        <w:t xml:space="preserve">can be provided with </w:t>
      </w:r>
      <w:r w:rsidRPr="000274FE">
        <w:rPr>
          <w:sz w:val="24"/>
          <w:szCs w:val="24"/>
        </w:rPr>
        <w:t xml:space="preserve">advice and assistance to enable them to clarify or rephrase their request. </w:t>
      </w:r>
      <w:r w:rsidR="007B5E30" w:rsidRPr="000274FE">
        <w:rPr>
          <w:sz w:val="24"/>
          <w:szCs w:val="24"/>
        </w:rPr>
        <w:t xml:space="preserve"> </w:t>
      </w:r>
      <w:r w:rsidRPr="000274FE">
        <w:rPr>
          <w:sz w:val="24"/>
          <w:szCs w:val="24"/>
        </w:rPr>
        <w:t xml:space="preserve">For example, </w:t>
      </w:r>
      <w:r w:rsidR="007B5E30" w:rsidRPr="000274FE">
        <w:rPr>
          <w:sz w:val="24"/>
          <w:szCs w:val="24"/>
        </w:rPr>
        <w:t xml:space="preserve">the </w:t>
      </w:r>
      <w:r w:rsidRPr="000274FE">
        <w:rPr>
          <w:sz w:val="24"/>
          <w:szCs w:val="24"/>
        </w:rPr>
        <w:t>options</w:t>
      </w:r>
      <w:r w:rsidR="007B5E30" w:rsidRPr="000274FE">
        <w:rPr>
          <w:sz w:val="24"/>
          <w:szCs w:val="24"/>
        </w:rPr>
        <w:t xml:space="preserve"> that</w:t>
      </w:r>
      <w:r w:rsidRPr="000274FE">
        <w:rPr>
          <w:sz w:val="24"/>
          <w:szCs w:val="24"/>
        </w:rPr>
        <w:t xml:space="preserve"> may be available to them </w:t>
      </w:r>
      <w:r w:rsidR="007B5E30" w:rsidRPr="000274FE">
        <w:rPr>
          <w:sz w:val="24"/>
          <w:szCs w:val="24"/>
        </w:rPr>
        <w:t>could be explained to determine</w:t>
      </w:r>
      <w:r w:rsidRPr="000274FE">
        <w:rPr>
          <w:sz w:val="24"/>
          <w:szCs w:val="24"/>
        </w:rPr>
        <w:t xml:space="preserve"> whether any of these would adequately answer their request.</w:t>
      </w:r>
    </w:p>
    <w:p w14:paraId="795304CE" w14:textId="041B461E" w:rsidR="00142937" w:rsidRPr="000274FE" w:rsidRDefault="00142937" w:rsidP="005422D2">
      <w:pPr>
        <w:pStyle w:val="Heading2"/>
        <w:rPr>
          <w:sz w:val="24"/>
          <w:szCs w:val="24"/>
          <w:lang w:eastAsia="en-GB"/>
        </w:rPr>
      </w:pPr>
      <w:r w:rsidRPr="000274FE">
        <w:rPr>
          <w:sz w:val="24"/>
          <w:szCs w:val="24"/>
          <w:shd w:val="clear" w:color="auto" w:fill="FFFFFF"/>
        </w:rPr>
        <w:t xml:space="preserve">The Act does not allow extra time for searching for information. </w:t>
      </w:r>
      <w:r w:rsidR="007B5E30" w:rsidRPr="000274FE">
        <w:rPr>
          <w:sz w:val="24"/>
          <w:szCs w:val="24"/>
          <w:shd w:val="clear" w:color="auto" w:fill="FFFFFF"/>
        </w:rPr>
        <w:t xml:space="preserve"> </w:t>
      </w:r>
      <w:r w:rsidRPr="000274FE">
        <w:rPr>
          <w:sz w:val="24"/>
          <w:szCs w:val="24"/>
          <w:shd w:val="clear" w:color="auto" w:fill="FFFFFF"/>
        </w:rPr>
        <w:t xml:space="preserve">However, if finding the information and drawing it together to answer the request would be an unreasonable burden on </w:t>
      </w:r>
      <w:r w:rsidR="007B5E30" w:rsidRPr="000274FE">
        <w:rPr>
          <w:sz w:val="24"/>
          <w:szCs w:val="24"/>
          <w:shd w:val="clear" w:color="auto" w:fill="FFFFFF"/>
        </w:rPr>
        <w:t>Practice</w:t>
      </w:r>
      <w:r w:rsidRPr="000274FE">
        <w:rPr>
          <w:sz w:val="24"/>
          <w:szCs w:val="24"/>
          <w:shd w:val="clear" w:color="auto" w:fill="FFFFFF"/>
        </w:rPr>
        <w:t xml:space="preserve"> resources</w:t>
      </w:r>
      <w:r w:rsidR="007B5E30" w:rsidRPr="000274FE">
        <w:rPr>
          <w:sz w:val="24"/>
          <w:szCs w:val="24"/>
          <w:shd w:val="clear" w:color="auto" w:fill="FFFFFF"/>
        </w:rPr>
        <w:t>,</w:t>
      </w:r>
      <w:r w:rsidRPr="000274FE">
        <w:rPr>
          <w:sz w:val="24"/>
          <w:szCs w:val="24"/>
          <w:shd w:val="clear" w:color="auto" w:fill="FFFFFF"/>
        </w:rPr>
        <w:t xml:space="preserve"> and exceed a set costs limit, the Practice may be able to refuse the request. </w:t>
      </w:r>
      <w:r w:rsidR="007B5E30" w:rsidRPr="000274FE">
        <w:rPr>
          <w:sz w:val="24"/>
          <w:szCs w:val="24"/>
          <w:shd w:val="clear" w:color="auto" w:fill="FFFFFF"/>
        </w:rPr>
        <w:t xml:space="preserve"> </w:t>
      </w:r>
      <w:r w:rsidRPr="000274FE">
        <w:rPr>
          <w:sz w:val="24"/>
          <w:szCs w:val="24"/>
          <w:shd w:val="clear" w:color="auto" w:fill="FFFFFF"/>
        </w:rPr>
        <w:t xml:space="preserve">Likewise, the Practice may not have to confirm </w:t>
      </w:r>
      <w:proofErr w:type="gramStart"/>
      <w:r w:rsidRPr="000274FE">
        <w:rPr>
          <w:sz w:val="24"/>
          <w:szCs w:val="24"/>
          <w:shd w:val="clear" w:color="auto" w:fill="FFFFFF"/>
        </w:rPr>
        <w:t>whether or not</w:t>
      </w:r>
      <w:proofErr w:type="gramEnd"/>
      <w:r w:rsidRPr="000274FE">
        <w:rPr>
          <w:sz w:val="24"/>
          <w:szCs w:val="24"/>
          <w:shd w:val="clear" w:color="auto" w:fill="FFFFFF"/>
        </w:rPr>
        <w:t xml:space="preserve"> </w:t>
      </w:r>
      <w:r w:rsidR="007B5E30" w:rsidRPr="000274FE">
        <w:rPr>
          <w:sz w:val="24"/>
          <w:szCs w:val="24"/>
          <w:shd w:val="clear" w:color="auto" w:fill="FFFFFF"/>
        </w:rPr>
        <w:t>they</w:t>
      </w:r>
      <w:r w:rsidRPr="000274FE">
        <w:rPr>
          <w:sz w:val="24"/>
          <w:szCs w:val="24"/>
          <w:shd w:val="clear" w:color="auto" w:fill="FFFFFF"/>
        </w:rPr>
        <w:t xml:space="preserve"> hold the information, if it would exceed the costs limit to determine this.</w:t>
      </w:r>
    </w:p>
    <w:p w14:paraId="00EC488D" w14:textId="18F763A2" w:rsidR="00142937" w:rsidRPr="000274FE" w:rsidRDefault="00142937" w:rsidP="005422D2">
      <w:pPr>
        <w:pStyle w:val="Heading2"/>
        <w:rPr>
          <w:sz w:val="24"/>
          <w:szCs w:val="24"/>
          <w:lang w:eastAsia="en-GB"/>
        </w:rPr>
      </w:pPr>
      <w:r w:rsidRPr="000274FE">
        <w:rPr>
          <w:sz w:val="24"/>
          <w:szCs w:val="24"/>
          <w:shd w:val="clear" w:color="auto" w:fill="FFFFFF"/>
        </w:rPr>
        <w:t xml:space="preserve">The Practice has two duties when responding to requests for information: to let the requester know whether </w:t>
      </w:r>
      <w:r w:rsidR="007B5E30" w:rsidRPr="000274FE">
        <w:rPr>
          <w:sz w:val="24"/>
          <w:szCs w:val="24"/>
          <w:shd w:val="clear" w:color="auto" w:fill="FFFFFF"/>
        </w:rPr>
        <w:t xml:space="preserve">they </w:t>
      </w:r>
      <w:r w:rsidRPr="000274FE">
        <w:rPr>
          <w:sz w:val="24"/>
          <w:szCs w:val="24"/>
          <w:shd w:val="clear" w:color="auto" w:fill="FFFFFF"/>
        </w:rPr>
        <w:t xml:space="preserve">hold the information, and to provide the information. </w:t>
      </w:r>
      <w:r w:rsidR="007B5E30" w:rsidRPr="000274FE">
        <w:rPr>
          <w:sz w:val="24"/>
          <w:szCs w:val="24"/>
          <w:shd w:val="clear" w:color="auto" w:fill="FFFFFF"/>
        </w:rPr>
        <w:t xml:space="preserve"> </w:t>
      </w:r>
      <w:r w:rsidRPr="000274FE">
        <w:rPr>
          <w:sz w:val="24"/>
          <w:szCs w:val="24"/>
          <w:shd w:val="clear" w:color="auto" w:fill="FFFFFF"/>
        </w:rPr>
        <w:t xml:space="preserve">If </w:t>
      </w:r>
      <w:r w:rsidR="007B5E30" w:rsidRPr="000274FE">
        <w:rPr>
          <w:sz w:val="24"/>
          <w:szCs w:val="24"/>
          <w:shd w:val="clear" w:color="auto" w:fill="FFFFFF"/>
        </w:rPr>
        <w:t>the Practice is</w:t>
      </w:r>
      <w:r w:rsidRPr="000274FE">
        <w:rPr>
          <w:sz w:val="24"/>
          <w:szCs w:val="24"/>
          <w:shd w:val="clear" w:color="auto" w:fill="FFFFFF"/>
        </w:rPr>
        <w:t xml:space="preserve"> giving out all the information </w:t>
      </w:r>
      <w:r w:rsidR="007B5E30" w:rsidRPr="000274FE">
        <w:rPr>
          <w:sz w:val="24"/>
          <w:szCs w:val="24"/>
          <w:shd w:val="clear" w:color="auto" w:fill="FFFFFF"/>
        </w:rPr>
        <w:t>they</w:t>
      </w:r>
      <w:r w:rsidRPr="000274FE">
        <w:rPr>
          <w:sz w:val="24"/>
          <w:szCs w:val="24"/>
          <w:shd w:val="clear" w:color="auto" w:fill="FFFFFF"/>
        </w:rPr>
        <w:t xml:space="preserve"> hold, this will fulfil both these duties. </w:t>
      </w:r>
      <w:r w:rsidR="007B5E30" w:rsidRPr="000274FE">
        <w:rPr>
          <w:sz w:val="24"/>
          <w:szCs w:val="24"/>
          <w:shd w:val="clear" w:color="auto" w:fill="FFFFFF"/>
        </w:rPr>
        <w:t xml:space="preserve"> </w:t>
      </w:r>
      <w:r w:rsidRPr="000274FE">
        <w:rPr>
          <w:sz w:val="24"/>
          <w:szCs w:val="24"/>
          <w:shd w:val="clear" w:color="auto" w:fill="FFFFFF"/>
        </w:rPr>
        <w:t xml:space="preserve">If </w:t>
      </w:r>
      <w:r w:rsidR="007B5E30" w:rsidRPr="000274FE">
        <w:rPr>
          <w:sz w:val="24"/>
          <w:szCs w:val="24"/>
          <w:shd w:val="clear" w:color="auto" w:fill="FFFFFF"/>
        </w:rPr>
        <w:t>the Practice refuses</w:t>
      </w:r>
      <w:r w:rsidRPr="000274FE">
        <w:rPr>
          <w:sz w:val="24"/>
          <w:szCs w:val="24"/>
          <w:shd w:val="clear" w:color="auto" w:fill="FFFFFF"/>
        </w:rPr>
        <w:t xml:space="preserve"> all or part of the request, </w:t>
      </w:r>
      <w:r w:rsidR="007B5E30" w:rsidRPr="000274FE">
        <w:rPr>
          <w:sz w:val="24"/>
          <w:szCs w:val="24"/>
          <w:shd w:val="clear" w:color="auto" w:fill="FFFFFF"/>
        </w:rPr>
        <w:t>they</w:t>
      </w:r>
      <w:r w:rsidRPr="000274FE">
        <w:rPr>
          <w:sz w:val="24"/>
          <w:szCs w:val="24"/>
          <w:shd w:val="clear" w:color="auto" w:fill="FFFFFF"/>
        </w:rPr>
        <w:t xml:space="preserve"> will normally still have to confirm whether </w:t>
      </w:r>
      <w:r w:rsidR="007B5E30" w:rsidRPr="000274FE">
        <w:rPr>
          <w:sz w:val="24"/>
          <w:szCs w:val="24"/>
          <w:shd w:val="clear" w:color="auto" w:fill="FFFFFF"/>
        </w:rPr>
        <w:t>they</w:t>
      </w:r>
      <w:r w:rsidRPr="000274FE">
        <w:rPr>
          <w:sz w:val="24"/>
          <w:szCs w:val="24"/>
          <w:shd w:val="clear" w:color="auto" w:fill="FFFFFF"/>
        </w:rPr>
        <w:t xml:space="preserve"> hold (further) information. </w:t>
      </w:r>
      <w:r w:rsidR="007B5E30" w:rsidRPr="000274FE">
        <w:rPr>
          <w:sz w:val="24"/>
          <w:szCs w:val="24"/>
          <w:shd w:val="clear" w:color="auto" w:fill="FFFFFF"/>
        </w:rPr>
        <w:t xml:space="preserve"> </w:t>
      </w:r>
      <w:r w:rsidRPr="000274FE">
        <w:rPr>
          <w:sz w:val="24"/>
          <w:szCs w:val="24"/>
          <w:shd w:val="clear" w:color="auto" w:fill="FFFFFF"/>
        </w:rPr>
        <w:t xml:space="preserve">The Practice does not need to give a description of this information; </w:t>
      </w:r>
      <w:r w:rsidR="007B5E30" w:rsidRPr="000274FE">
        <w:rPr>
          <w:sz w:val="24"/>
          <w:szCs w:val="24"/>
          <w:shd w:val="clear" w:color="auto" w:fill="FFFFFF"/>
        </w:rPr>
        <w:t>they</w:t>
      </w:r>
      <w:r w:rsidRPr="000274FE">
        <w:rPr>
          <w:sz w:val="24"/>
          <w:szCs w:val="24"/>
          <w:shd w:val="clear" w:color="auto" w:fill="FFFFFF"/>
        </w:rPr>
        <w:t xml:space="preserve"> only have to say whether </w:t>
      </w:r>
      <w:r w:rsidR="007B5E30" w:rsidRPr="000274FE">
        <w:rPr>
          <w:sz w:val="24"/>
          <w:szCs w:val="24"/>
          <w:shd w:val="clear" w:color="auto" w:fill="FFFFFF"/>
        </w:rPr>
        <w:t>they</w:t>
      </w:r>
      <w:r w:rsidRPr="000274FE">
        <w:rPr>
          <w:sz w:val="24"/>
          <w:szCs w:val="24"/>
          <w:shd w:val="clear" w:color="auto" w:fill="FFFFFF"/>
        </w:rPr>
        <w:t xml:space="preserve"> have any (further) information that falls within the scope of the request.</w:t>
      </w:r>
    </w:p>
    <w:p w14:paraId="03A80A7D" w14:textId="0B004B29" w:rsidR="00142937" w:rsidRPr="000274FE" w:rsidRDefault="00142937" w:rsidP="005422D2">
      <w:pPr>
        <w:pStyle w:val="Heading2"/>
        <w:rPr>
          <w:sz w:val="24"/>
          <w:szCs w:val="24"/>
          <w:lang w:eastAsia="en-GB"/>
        </w:rPr>
      </w:pPr>
      <w:r w:rsidRPr="000274FE">
        <w:rPr>
          <w:sz w:val="24"/>
          <w:szCs w:val="24"/>
          <w:shd w:val="clear" w:color="auto" w:fill="FFFFFF"/>
        </w:rPr>
        <w:t xml:space="preserve">In some circumstances, </w:t>
      </w:r>
      <w:r w:rsidR="007B5E30" w:rsidRPr="000274FE">
        <w:rPr>
          <w:sz w:val="24"/>
          <w:szCs w:val="24"/>
          <w:shd w:val="clear" w:color="auto" w:fill="FFFFFF"/>
        </w:rPr>
        <w:t>the Practice</w:t>
      </w:r>
      <w:r w:rsidRPr="000274FE">
        <w:rPr>
          <w:sz w:val="24"/>
          <w:szCs w:val="24"/>
          <w:shd w:val="clear" w:color="auto" w:fill="FFFFFF"/>
        </w:rPr>
        <w:t xml:space="preserve"> can refuse to confirm or deny whether information. </w:t>
      </w:r>
      <w:r w:rsidR="007B5E30" w:rsidRPr="000274FE">
        <w:rPr>
          <w:sz w:val="24"/>
          <w:szCs w:val="24"/>
          <w:shd w:val="clear" w:color="auto" w:fill="FFFFFF"/>
        </w:rPr>
        <w:t xml:space="preserve"> </w:t>
      </w:r>
      <w:r w:rsidRPr="000274FE">
        <w:rPr>
          <w:sz w:val="24"/>
          <w:szCs w:val="24"/>
          <w:shd w:val="clear" w:color="auto" w:fill="FFFFFF"/>
        </w:rPr>
        <w:t xml:space="preserve">For example, if a requester asks the Practice about evidence of criminal activity by a named individual, saying whether such information </w:t>
      </w:r>
      <w:r w:rsidR="005345EF" w:rsidRPr="000274FE">
        <w:rPr>
          <w:sz w:val="24"/>
          <w:szCs w:val="24"/>
          <w:shd w:val="clear" w:color="auto" w:fill="FFFFFF"/>
        </w:rPr>
        <w:t xml:space="preserve">is held </w:t>
      </w:r>
      <w:r w:rsidRPr="000274FE">
        <w:rPr>
          <w:sz w:val="24"/>
          <w:szCs w:val="24"/>
          <w:shd w:val="clear" w:color="auto" w:fill="FFFFFF"/>
        </w:rPr>
        <w:t xml:space="preserve">could be unfair to the individual and could prejudice any police investigation. </w:t>
      </w:r>
      <w:r w:rsidR="007B5E30" w:rsidRPr="000274FE">
        <w:rPr>
          <w:sz w:val="24"/>
          <w:szCs w:val="24"/>
          <w:shd w:val="clear" w:color="auto" w:fill="FFFFFF"/>
        </w:rPr>
        <w:t xml:space="preserve"> </w:t>
      </w:r>
      <w:r w:rsidRPr="000274FE">
        <w:rPr>
          <w:sz w:val="24"/>
          <w:szCs w:val="24"/>
          <w:shd w:val="clear" w:color="auto" w:fill="FFFFFF"/>
        </w:rPr>
        <w:t>This is called a ‘neither confirm nor deny’ (NCND) response.</w:t>
      </w:r>
    </w:p>
    <w:p w14:paraId="60A718E7" w14:textId="0FDBD199" w:rsidR="00142937" w:rsidRPr="000274FE" w:rsidRDefault="00142937" w:rsidP="005422D2">
      <w:pPr>
        <w:pStyle w:val="Heading2"/>
        <w:rPr>
          <w:sz w:val="24"/>
          <w:szCs w:val="24"/>
          <w:lang w:eastAsia="en-GB"/>
        </w:rPr>
      </w:pPr>
      <w:r w:rsidRPr="000274FE">
        <w:rPr>
          <w:sz w:val="24"/>
          <w:szCs w:val="24"/>
          <w:shd w:val="clear" w:color="auto" w:fill="FFFFFF"/>
        </w:rPr>
        <w:t xml:space="preserve">The Act covers recorded information, </w:t>
      </w:r>
      <w:proofErr w:type="gramStart"/>
      <w:r w:rsidRPr="000274FE">
        <w:rPr>
          <w:sz w:val="24"/>
          <w:szCs w:val="24"/>
          <w:shd w:val="clear" w:color="auto" w:fill="FFFFFF"/>
        </w:rPr>
        <w:t>whether or not</w:t>
      </w:r>
      <w:proofErr w:type="gramEnd"/>
      <w:r w:rsidRPr="000274FE">
        <w:rPr>
          <w:sz w:val="24"/>
          <w:szCs w:val="24"/>
          <w:shd w:val="clear" w:color="auto" w:fill="FFFFFF"/>
        </w:rPr>
        <w:t xml:space="preserve"> it is accurate. </w:t>
      </w:r>
      <w:r w:rsidR="007B5E30" w:rsidRPr="000274FE">
        <w:rPr>
          <w:sz w:val="24"/>
          <w:szCs w:val="24"/>
          <w:shd w:val="clear" w:color="auto" w:fill="FFFFFF"/>
        </w:rPr>
        <w:t xml:space="preserve"> </w:t>
      </w:r>
      <w:r w:rsidRPr="000274FE">
        <w:rPr>
          <w:sz w:val="24"/>
          <w:szCs w:val="24"/>
          <w:shd w:val="clear" w:color="auto" w:fill="FFFFFF"/>
        </w:rPr>
        <w:t xml:space="preserve">The Practice cannot refuse a request for information simply because the information is out of date, incomplete or inaccurate. </w:t>
      </w:r>
      <w:r w:rsidR="007B5E30" w:rsidRPr="000274FE">
        <w:rPr>
          <w:sz w:val="24"/>
          <w:szCs w:val="24"/>
          <w:shd w:val="clear" w:color="auto" w:fill="FFFFFF"/>
        </w:rPr>
        <w:t xml:space="preserve"> </w:t>
      </w:r>
      <w:r w:rsidRPr="000274FE">
        <w:rPr>
          <w:sz w:val="24"/>
          <w:szCs w:val="24"/>
          <w:shd w:val="clear" w:color="auto" w:fill="FFFFFF"/>
        </w:rPr>
        <w:t xml:space="preserve">To avoid misleading the requester, the Practice should normally be able to explain to them the nature of the </w:t>
      </w:r>
      <w:proofErr w:type="gramStart"/>
      <w:r w:rsidRPr="000274FE">
        <w:rPr>
          <w:sz w:val="24"/>
          <w:szCs w:val="24"/>
          <w:shd w:val="clear" w:color="auto" w:fill="FFFFFF"/>
        </w:rPr>
        <w:t>information, or</w:t>
      </w:r>
      <w:proofErr w:type="gramEnd"/>
      <w:r w:rsidRPr="000274FE">
        <w:rPr>
          <w:sz w:val="24"/>
          <w:szCs w:val="24"/>
          <w:shd w:val="clear" w:color="auto" w:fill="FFFFFF"/>
        </w:rPr>
        <w:t xml:space="preserve"> provide extra information to help put the information into context.</w:t>
      </w:r>
    </w:p>
    <w:p w14:paraId="057343CD" w14:textId="6D885E95" w:rsidR="00142937" w:rsidRPr="000274FE" w:rsidRDefault="00142937" w:rsidP="005422D2">
      <w:pPr>
        <w:pStyle w:val="Heading2"/>
        <w:rPr>
          <w:sz w:val="24"/>
          <w:szCs w:val="24"/>
          <w:lang w:eastAsia="en-GB"/>
        </w:rPr>
      </w:pPr>
      <w:r w:rsidRPr="000274FE">
        <w:rPr>
          <w:sz w:val="24"/>
          <w:szCs w:val="24"/>
          <w:shd w:val="clear" w:color="auto" w:fill="FFFFFF"/>
        </w:rPr>
        <w:t xml:space="preserve">When considering complaints against a public authority, the ICO will normally reject arguments that inaccurate information should not be disclosed. </w:t>
      </w:r>
      <w:r w:rsidR="007B5E30" w:rsidRPr="000274FE">
        <w:rPr>
          <w:sz w:val="24"/>
          <w:szCs w:val="24"/>
          <w:shd w:val="clear" w:color="auto" w:fill="FFFFFF"/>
        </w:rPr>
        <w:t xml:space="preserve"> </w:t>
      </w:r>
      <w:r w:rsidRPr="000274FE">
        <w:rPr>
          <w:sz w:val="24"/>
          <w:szCs w:val="24"/>
          <w:shd w:val="clear" w:color="auto" w:fill="FFFFFF"/>
        </w:rPr>
        <w:t>However, in a few cases there may be strong and persuasive arguments for refusing a request on these grounds if these are specifically tied to an exemption in the Act.</w:t>
      </w:r>
      <w:r w:rsidR="007B5E30" w:rsidRPr="000274FE">
        <w:rPr>
          <w:sz w:val="24"/>
          <w:szCs w:val="24"/>
          <w:shd w:val="clear" w:color="auto" w:fill="FFFFFF"/>
        </w:rPr>
        <w:t xml:space="preserve"> </w:t>
      </w:r>
      <w:r w:rsidRPr="000274FE">
        <w:rPr>
          <w:sz w:val="24"/>
          <w:szCs w:val="24"/>
          <w:shd w:val="clear" w:color="auto" w:fill="FFFFFF"/>
        </w:rPr>
        <w:t xml:space="preserve"> It is therefore best for the Practice to identify such arguments.</w:t>
      </w:r>
    </w:p>
    <w:p w14:paraId="46F56B4A" w14:textId="1D889B4F" w:rsidR="00142937" w:rsidRPr="000274FE" w:rsidRDefault="00142937" w:rsidP="005422D2">
      <w:pPr>
        <w:pStyle w:val="Heading2"/>
        <w:rPr>
          <w:sz w:val="24"/>
          <w:szCs w:val="24"/>
          <w:lang w:eastAsia="en-GB"/>
        </w:rPr>
      </w:pPr>
      <w:r w:rsidRPr="000274FE">
        <w:rPr>
          <w:sz w:val="24"/>
          <w:szCs w:val="24"/>
          <w:shd w:val="clear" w:color="auto" w:fill="FFFFFF"/>
        </w:rPr>
        <w:lastRenderedPageBreak/>
        <w:t xml:space="preserve">The Practice should normally disclose the information held at the time of the request. </w:t>
      </w:r>
      <w:r w:rsidR="007B5E30" w:rsidRPr="000274FE">
        <w:rPr>
          <w:sz w:val="24"/>
          <w:szCs w:val="24"/>
          <w:shd w:val="clear" w:color="auto" w:fill="FFFFFF"/>
        </w:rPr>
        <w:t xml:space="preserve"> Practices</w:t>
      </w:r>
      <w:r w:rsidRPr="000274FE">
        <w:rPr>
          <w:sz w:val="24"/>
          <w:szCs w:val="24"/>
          <w:shd w:val="clear" w:color="auto" w:fill="FFFFFF"/>
        </w:rPr>
        <w:t xml:space="preserve"> are allowed to make routine changes to the information </w:t>
      </w:r>
      <w:r w:rsidR="007B5E30" w:rsidRPr="000274FE">
        <w:rPr>
          <w:sz w:val="24"/>
          <w:szCs w:val="24"/>
          <w:shd w:val="clear" w:color="auto" w:fill="FFFFFF"/>
        </w:rPr>
        <w:t>whilst</w:t>
      </w:r>
      <w:r w:rsidRPr="000274FE">
        <w:rPr>
          <w:sz w:val="24"/>
          <w:szCs w:val="24"/>
          <w:shd w:val="clear" w:color="auto" w:fill="FFFFFF"/>
        </w:rPr>
        <w:t xml:space="preserve"> dealing with the request</w:t>
      </w:r>
      <w:r w:rsidR="007B5E30" w:rsidRPr="000274FE">
        <w:rPr>
          <w:sz w:val="24"/>
          <w:szCs w:val="24"/>
          <w:shd w:val="clear" w:color="auto" w:fill="FFFFFF"/>
        </w:rPr>
        <w:t>,</w:t>
      </w:r>
      <w:r w:rsidRPr="000274FE">
        <w:rPr>
          <w:sz w:val="24"/>
          <w:szCs w:val="24"/>
          <w:shd w:val="clear" w:color="auto" w:fill="FFFFFF"/>
        </w:rPr>
        <w:t xml:space="preserve"> </w:t>
      </w:r>
      <w:proofErr w:type="gramStart"/>
      <w:r w:rsidRPr="000274FE">
        <w:rPr>
          <w:sz w:val="24"/>
          <w:szCs w:val="24"/>
          <w:shd w:val="clear" w:color="auto" w:fill="FFFFFF"/>
        </w:rPr>
        <w:t>as long as</w:t>
      </w:r>
      <w:proofErr w:type="gramEnd"/>
      <w:r w:rsidRPr="000274FE">
        <w:rPr>
          <w:sz w:val="24"/>
          <w:szCs w:val="24"/>
          <w:shd w:val="clear" w:color="auto" w:fill="FFFFFF"/>
        </w:rPr>
        <w:t xml:space="preserve"> these would have been made regardless of the request. </w:t>
      </w:r>
      <w:r w:rsidR="007B5E30" w:rsidRPr="000274FE">
        <w:rPr>
          <w:sz w:val="24"/>
          <w:szCs w:val="24"/>
          <w:shd w:val="clear" w:color="auto" w:fill="FFFFFF"/>
        </w:rPr>
        <w:t xml:space="preserve"> </w:t>
      </w:r>
      <w:r w:rsidRPr="000274FE">
        <w:rPr>
          <w:sz w:val="24"/>
          <w:szCs w:val="24"/>
          <w:shd w:val="clear" w:color="auto" w:fill="FFFFFF"/>
        </w:rPr>
        <w:t>However, it would not be good practice to go ahead with a scheduled deletion of information if it is known to have been requested.</w:t>
      </w:r>
      <w:r w:rsidR="005345EF" w:rsidRPr="000274FE">
        <w:rPr>
          <w:sz w:val="24"/>
          <w:szCs w:val="24"/>
          <w:shd w:val="clear" w:color="auto" w:fill="FFFFFF"/>
        </w:rPr>
        <w:t xml:space="preserve">  </w:t>
      </w:r>
      <w:r w:rsidR="009E5B19" w:rsidRPr="000274FE">
        <w:rPr>
          <w:sz w:val="24"/>
          <w:szCs w:val="24"/>
          <w:shd w:val="clear" w:color="auto" w:fill="FFFFFF"/>
        </w:rPr>
        <w:t>Changes</w:t>
      </w:r>
      <w:r w:rsidRPr="000274FE">
        <w:rPr>
          <w:sz w:val="24"/>
          <w:szCs w:val="24"/>
          <w:shd w:val="clear" w:color="auto" w:fill="FFFFFF"/>
        </w:rPr>
        <w:t xml:space="preserve"> or deletions </w:t>
      </w:r>
      <w:r w:rsidR="009E5B19" w:rsidRPr="000274FE">
        <w:rPr>
          <w:sz w:val="24"/>
          <w:szCs w:val="24"/>
          <w:shd w:val="clear" w:color="auto" w:fill="FFFFFF"/>
        </w:rPr>
        <w:t xml:space="preserve">must not be made </w:t>
      </w:r>
      <w:proofErr w:type="gramStart"/>
      <w:r w:rsidRPr="000274FE">
        <w:rPr>
          <w:sz w:val="24"/>
          <w:szCs w:val="24"/>
          <w:shd w:val="clear" w:color="auto" w:fill="FFFFFF"/>
        </w:rPr>
        <w:t>as a result of</w:t>
      </w:r>
      <w:proofErr w:type="gramEnd"/>
      <w:r w:rsidRPr="000274FE">
        <w:rPr>
          <w:sz w:val="24"/>
          <w:szCs w:val="24"/>
          <w:shd w:val="clear" w:color="auto" w:fill="FFFFFF"/>
        </w:rPr>
        <w:t xml:space="preserve"> the request, for example, because </w:t>
      </w:r>
      <w:r w:rsidR="007B5E30" w:rsidRPr="000274FE">
        <w:rPr>
          <w:sz w:val="24"/>
          <w:szCs w:val="24"/>
          <w:shd w:val="clear" w:color="auto" w:fill="FFFFFF"/>
        </w:rPr>
        <w:t>of concerns</w:t>
      </w:r>
      <w:r w:rsidRPr="000274FE">
        <w:rPr>
          <w:sz w:val="24"/>
          <w:szCs w:val="24"/>
          <w:shd w:val="clear" w:color="auto" w:fill="FFFFFF"/>
        </w:rPr>
        <w:t xml:space="preserve"> that some of the information could be embarrassing if it were</w:t>
      </w:r>
      <w:r w:rsidR="007B5E30" w:rsidRPr="000274FE">
        <w:rPr>
          <w:sz w:val="24"/>
          <w:szCs w:val="24"/>
          <w:shd w:val="clear" w:color="auto" w:fill="FFFFFF"/>
        </w:rPr>
        <w:t xml:space="preserve"> to be</w:t>
      </w:r>
      <w:r w:rsidRPr="000274FE">
        <w:rPr>
          <w:sz w:val="24"/>
          <w:szCs w:val="24"/>
          <w:shd w:val="clear" w:color="auto" w:fill="FFFFFF"/>
        </w:rPr>
        <w:t xml:space="preserve"> released. </w:t>
      </w:r>
      <w:r w:rsidR="007B5E30" w:rsidRPr="000274FE">
        <w:rPr>
          <w:sz w:val="24"/>
          <w:szCs w:val="24"/>
          <w:shd w:val="clear" w:color="auto" w:fill="FFFFFF"/>
        </w:rPr>
        <w:t xml:space="preserve"> </w:t>
      </w:r>
      <w:r w:rsidRPr="000274FE">
        <w:rPr>
          <w:sz w:val="24"/>
          <w:szCs w:val="24"/>
          <w:shd w:val="clear" w:color="auto" w:fill="FFFFFF"/>
        </w:rPr>
        <w:t>This is a criminal offence.</w:t>
      </w:r>
    </w:p>
    <w:p w14:paraId="5021C4B5" w14:textId="158E525C" w:rsidR="00142937" w:rsidRPr="000274FE" w:rsidRDefault="00142937" w:rsidP="005422D2">
      <w:pPr>
        <w:pStyle w:val="Heading2"/>
        <w:rPr>
          <w:sz w:val="24"/>
          <w:szCs w:val="24"/>
          <w:lang w:eastAsia="en-GB"/>
        </w:rPr>
      </w:pPr>
      <w:r w:rsidRPr="000274FE">
        <w:rPr>
          <w:sz w:val="24"/>
          <w:szCs w:val="24"/>
          <w:shd w:val="clear" w:color="auto" w:fill="FFFFFF"/>
        </w:rPr>
        <w:t>Disclosures under the Act are ‘to the world’.</w:t>
      </w:r>
      <w:r w:rsidR="007B5E30" w:rsidRPr="000274FE">
        <w:rPr>
          <w:sz w:val="24"/>
          <w:szCs w:val="24"/>
          <w:shd w:val="clear" w:color="auto" w:fill="FFFFFF"/>
        </w:rPr>
        <w:t xml:space="preserve"> </w:t>
      </w:r>
      <w:r w:rsidRPr="000274FE">
        <w:rPr>
          <w:sz w:val="24"/>
          <w:szCs w:val="24"/>
          <w:shd w:val="clear" w:color="auto" w:fill="FFFFFF"/>
        </w:rPr>
        <w:t xml:space="preserve"> However, </w:t>
      </w:r>
      <w:r w:rsidR="007B5E30" w:rsidRPr="000274FE">
        <w:rPr>
          <w:sz w:val="24"/>
          <w:szCs w:val="24"/>
          <w:shd w:val="clear" w:color="auto" w:fill="FFFFFF"/>
        </w:rPr>
        <w:t>the Practice</w:t>
      </w:r>
      <w:r w:rsidRPr="000274FE">
        <w:rPr>
          <w:sz w:val="24"/>
          <w:szCs w:val="24"/>
          <w:shd w:val="clear" w:color="auto" w:fill="FFFFFF"/>
        </w:rPr>
        <w:t xml:space="preserve"> can restrict the release of information to a specific individual or group at </w:t>
      </w:r>
      <w:r w:rsidR="007B5E30" w:rsidRPr="000274FE">
        <w:rPr>
          <w:sz w:val="24"/>
          <w:szCs w:val="24"/>
          <w:shd w:val="clear" w:color="auto" w:fill="FFFFFF"/>
        </w:rPr>
        <w:t>their</w:t>
      </w:r>
      <w:r w:rsidRPr="000274FE">
        <w:rPr>
          <w:sz w:val="24"/>
          <w:szCs w:val="24"/>
          <w:shd w:val="clear" w:color="auto" w:fill="FFFFFF"/>
        </w:rPr>
        <w:t xml:space="preserve"> discretion, outside the provisions of the Act.</w:t>
      </w:r>
      <w:r w:rsidR="007B5E30" w:rsidRPr="000274FE">
        <w:rPr>
          <w:sz w:val="24"/>
          <w:szCs w:val="24"/>
          <w:shd w:val="clear" w:color="auto" w:fill="FFFFFF"/>
        </w:rPr>
        <w:t xml:space="preserve"> </w:t>
      </w:r>
      <w:r w:rsidRPr="000274FE">
        <w:rPr>
          <w:sz w:val="24"/>
          <w:szCs w:val="24"/>
          <w:shd w:val="clear" w:color="auto" w:fill="FFFFFF"/>
        </w:rPr>
        <w:t xml:space="preserve"> If the Practice makes a restricted disclosure, </w:t>
      </w:r>
      <w:r w:rsidR="007B5E30" w:rsidRPr="000274FE">
        <w:rPr>
          <w:sz w:val="24"/>
          <w:szCs w:val="24"/>
          <w:shd w:val="clear" w:color="auto" w:fill="FFFFFF"/>
        </w:rPr>
        <w:t>it should be made</w:t>
      </w:r>
      <w:r w:rsidRPr="000274FE">
        <w:rPr>
          <w:sz w:val="24"/>
          <w:szCs w:val="24"/>
          <w:shd w:val="clear" w:color="auto" w:fill="FFFFFF"/>
        </w:rPr>
        <w:t xml:space="preserve"> very clear to the requester that the information is for them alone; many requesters are satisfied with this. </w:t>
      </w:r>
      <w:r w:rsidR="005345EF" w:rsidRPr="000274FE">
        <w:rPr>
          <w:sz w:val="24"/>
          <w:szCs w:val="24"/>
          <w:shd w:val="clear" w:color="auto" w:fill="FFFFFF"/>
        </w:rPr>
        <w:t xml:space="preserve"> </w:t>
      </w:r>
      <w:r w:rsidRPr="000274FE">
        <w:rPr>
          <w:sz w:val="24"/>
          <w:szCs w:val="24"/>
          <w:shd w:val="clear" w:color="auto" w:fill="FFFFFF"/>
        </w:rPr>
        <w:t xml:space="preserve">However, if the requester has made it clear that they want the information under the Act and are not satisfied with receiving it on a discretionary basis, </w:t>
      </w:r>
      <w:r w:rsidR="007B5E30" w:rsidRPr="000274FE">
        <w:rPr>
          <w:sz w:val="24"/>
          <w:szCs w:val="24"/>
          <w:shd w:val="clear" w:color="auto" w:fill="FFFFFF"/>
        </w:rPr>
        <w:t>the Practice</w:t>
      </w:r>
      <w:r w:rsidRPr="000274FE">
        <w:rPr>
          <w:sz w:val="24"/>
          <w:szCs w:val="24"/>
          <w:shd w:val="clear" w:color="auto" w:fill="FFFFFF"/>
        </w:rPr>
        <w:t xml:space="preserve"> can give them the </w:t>
      </w:r>
      <w:proofErr w:type="gramStart"/>
      <w:r w:rsidRPr="000274FE">
        <w:rPr>
          <w:sz w:val="24"/>
          <w:szCs w:val="24"/>
          <w:shd w:val="clear" w:color="auto" w:fill="FFFFFF"/>
        </w:rPr>
        <w:t>information, but</w:t>
      </w:r>
      <w:proofErr w:type="gramEnd"/>
      <w:r w:rsidRPr="000274FE">
        <w:rPr>
          <w:sz w:val="24"/>
          <w:szCs w:val="24"/>
          <w:shd w:val="clear" w:color="auto" w:fill="FFFFFF"/>
        </w:rPr>
        <w:t xml:space="preserve"> may also need to give them a formal refusal notice, explaining why </w:t>
      </w:r>
      <w:r w:rsidR="007B5E30" w:rsidRPr="000274FE">
        <w:rPr>
          <w:sz w:val="24"/>
          <w:szCs w:val="24"/>
          <w:shd w:val="clear" w:color="auto" w:fill="FFFFFF"/>
        </w:rPr>
        <w:t xml:space="preserve">it has not been </w:t>
      </w:r>
      <w:r w:rsidRPr="000274FE">
        <w:rPr>
          <w:sz w:val="24"/>
          <w:szCs w:val="24"/>
          <w:shd w:val="clear" w:color="auto" w:fill="FFFFFF"/>
        </w:rPr>
        <w:t>released under the Act. </w:t>
      </w:r>
    </w:p>
    <w:p w14:paraId="3A8430E4" w14:textId="68D379FD" w:rsidR="00142937" w:rsidRPr="00DB65FA" w:rsidRDefault="00142937" w:rsidP="00273668">
      <w:pPr>
        <w:pStyle w:val="Heading1"/>
        <w:rPr>
          <w:lang w:eastAsia="en-GB"/>
        </w:rPr>
      </w:pPr>
      <w:r w:rsidRPr="00DB65FA">
        <w:t>Refusal</w:t>
      </w:r>
      <w:r w:rsidR="00712CEC">
        <w:t>S</w:t>
      </w:r>
      <w:r w:rsidRPr="00DB65FA">
        <w:t xml:space="preserve"> to rEspond</w:t>
      </w:r>
    </w:p>
    <w:p w14:paraId="7C546C32" w14:textId="68A54E75" w:rsidR="00142937" w:rsidRPr="000274FE" w:rsidRDefault="00142937" w:rsidP="00142937">
      <w:pPr>
        <w:pStyle w:val="Heading2"/>
        <w:rPr>
          <w:rFonts w:cstheme="minorHAnsi"/>
          <w:sz w:val="24"/>
          <w:szCs w:val="24"/>
          <w:shd w:val="clear" w:color="auto" w:fill="FFFFFF"/>
        </w:rPr>
      </w:pPr>
      <w:r w:rsidRPr="000274FE">
        <w:rPr>
          <w:rFonts w:cstheme="minorHAnsi"/>
          <w:sz w:val="24"/>
          <w:szCs w:val="24"/>
          <w:shd w:val="clear" w:color="auto" w:fill="FFFFFF"/>
        </w:rPr>
        <w:t xml:space="preserve">A requester may ask for any information that is held by any public authority. </w:t>
      </w:r>
      <w:r w:rsidR="00674AA4" w:rsidRPr="000274FE">
        <w:rPr>
          <w:rFonts w:cstheme="minorHAnsi"/>
          <w:sz w:val="24"/>
          <w:szCs w:val="24"/>
          <w:shd w:val="clear" w:color="auto" w:fill="FFFFFF"/>
        </w:rPr>
        <w:t xml:space="preserve"> </w:t>
      </w:r>
      <w:r w:rsidRPr="000274FE">
        <w:rPr>
          <w:rFonts w:cstheme="minorHAnsi"/>
          <w:sz w:val="24"/>
          <w:szCs w:val="24"/>
          <w:shd w:val="clear" w:color="auto" w:fill="FFFFFF"/>
        </w:rPr>
        <w:t>However, this does not mean we are always obliged to provide the information.</w:t>
      </w:r>
      <w:r w:rsidR="00674AA4" w:rsidRPr="000274FE">
        <w:rPr>
          <w:rFonts w:cstheme="minorHAnsi"/>
          <w:sz w:val="24"/>
          <w:szCs w:val="24"/>
          <w:shd w:val="clear" w:color="auto" w:fill="FFFFFF"/>
        </w:rPr>
        <w:t xml:space="preserve"> </w:t>
      </w:r>
      <w:r w:rsidRPr="000274FE">
        <w:rPr>
          <w:rFonts w:cstheme="minorHAnsi"/>
          <w:sz w:val="24"/>
          <w:szCs w:val="24"/>
          <w:shd w:val="clear" w:color="auto" w:fill="FFFFFF"/>
        </w:rPr>
        <w:t xml:space="preserve"> In some cases, there will be a good reason why we should not make public some or </w:t>
      </w:r>
      <w:proofErr w:type="gramStart"/>
      <w:r w:rsidRPr="000274FE">
        <w:rPr>
          <w:rFonts w:cstheme="minorHAnsi"/>
          <w:sz w:val="24"/>
          <w:szCs w:val="24"/>
          <w:shd w:val="clear" w:color="auto" w:fill="FFFFFF"/>
        </w:rPr>
        <w:t>all of</w:t>
      </w:r>
      <w:proofErr w:type="gramEnd"/>
      <w:r w:rsidRPr="000274FE">
        <w:rPr>
          <w:rFonts w:cstheme="minorHAnsi"/>
          <w:sz w:val="24"/>
          <w:szCs w:val="24"/>
          <w:shd w:val="clear" w:color="auto" w:fill="FFFFFF"/>
        </w:rPr>
        <w:t xml:space="preserve"> the information requested.</w:t>
      </w:r>
    </w:p>
    <w:p w14:paraId="4DC7C468" w14:textId="77777777" w:rsidR="00142937" w:rsidRPr="000274FE" w:rsidRDefault="00142937" w:rsidP="00142937">
      <w:pPr>
        <w:pStyle w:val="Heading2"/>
        <w:rPr>
          <w:rFonts w:cstheme="minorHAnsi"/>
          <w:sz w:val="24"/>
          <w:szCs w:val="24"/>
        </w:rPr>
      </w:pPr>
      <w:r w:rsidRPr="000274FE">
        <w:rPr>
          <w:rFonts w:cstheme="minorHAnsi"/>
          <w:sz w:val="24"/>
          <w:szCs w:val="24"/>
        </w:rPr>
        <w:t xml:space="preserve">The Practice can refuse an entire request in the following circumstances: </w:t>
      </w:r>
    </w:p>
    <w:p w14:paraId="03C6A892" w14:textId="2287B19B" w:rsidR="00142937" w:rsidRPr="000274FE" w:rsidRDefault="00674AA4" w:rsidP="005422D2">
      <w:pPr>
        <w:pStyle w:val="ListBullet3"/>
        <w:rPr>
          <w:sz w:val="24"/>
          <w:szCs w:val="24"/>
        </w:rPr>
      </w:pPr>
      <w:r w:rsidRPr="000274FE">
        <w:rPr>
          <w:sz w:val="24"/>
          <w:szCs w:val="24"/>
        </w:rPr>
        <w:t>i</w:t>
      </w:r>
      <w:r w:rsidR="00142937" w:rsidRPr="000274FE">
        <w:rPr>
          <w:sz w:val="24"/>
          <w:szCs w:val="24"/>
        </w:rPr>
        <w:t xml:space="preserve">t would cost too much, or take up too much staff time to deal with the </w:t>
      </w:r>
      <w:proofErr w:type="gramStart"/>
      <w:r w:rsidR="00142937" w:rsidRPr="000274FE">
        <w:rPr>
          <w:sz w:val="24"/>
          <w:szCs w:val="24"/>
        </w:rPr>
        <w:t>request</w:t>
      </w:r>
      <w:r w:rsidRPr="000274FE">
        <w:rPr>
          <w:sz w:val="24"/>
          <w:szCs w:val="24"/>
        </w:rPr>
        <w:t>;</w:t>
      </w:r>
      <w:proofErr w:type="gramEnd"/>
    </w:p>
    <w:p w14:paraId="773D93E5" w14:textId="3C479AC8" w:rsidR="00142937" w:rsidRPr="000274FE" w:rsidRDefault="00674AA4" w:rsidP="005422D2">
      <w:pPr>
        <w:pStyle w:val="ListBullet3"/>
        <w:rPr>
          <w:sz w:val="24"/>
          <w:szCs w:val="24"/>
        </w:rPr>
      </w:pPr>
      <w:r w:rsidRPr="000274FE">
        <w:rPr>
          <w:sz w:val="24"/>
          <w:szCs w:val="24"/>
        </w:rPr>
        <w:t>t</w:t>
      </w:r>
      <w:r w:rsidR="00142937" w:rsidRPr="000274FE">
        <w:rPr>
          <w:sz w:val="24"/>
          <w:szCs w:val="24"/>
        </w:rPr>
        <w:t xml:space="preserve">he request is </w:t>
      </w:r>
      <w:proofErr w:type="gramStart"/>
      <w:r w:rsidR="00142937" w:rsidRPr="000274FE">
        <w:rPr>
          <w:sz w:val="24"/>
          <w:szCs w:val="24"/>
        </w:rPr>
        <w:t>vexatious</w:t>
      </w:r>
      <w:r w:rsidRPr="000274FE">
        <w:rPr>
          <w:sz w:val="24"/>
          <w:szCs w:val="24"/>
        </w:rPr>
        <w:t>;</w:t>
      </w:r>
      <w:proofErr w:type="gramEnd"/>
    </w:p>
    <w:p w14:paraId="105FB480" w14:textId="3C29A7ED" w:rsidR="00142937" w:rsidRPr="000274FE" w:rsidRDefault="00674AA4" w:rsidP="005422D2">
      <w:pPr>
        <w:pStyle w:val="ListBullet3"/>
        <w:rPr>
          <w:sz w:val="24"/>
          <w:szCs w:val="24"/>
        </w:rPr>
      </w:pPr>
      <w:r w:rsidRPr="000274FE">
        <w:rPr>
          <w:sz w:val="24"/>
          <w:szCs w:val="24"/>
        </w:rPr>
        <w:t>t</w:t>
      </w:r>
      <w:r w:rsidR="00142937" w:rsidRPr="000274FE">
        <w:rPr>
          <w:sz w:val="24"/>
          <w:szCs w:val="24"/>
        </w:rPr>
        <w:t>he request repeats a previous request from the same person</w:t>
      </w:r>
      <w:r w:rsidRPr="000274FE">
        <w:rPr>
          <w:sz w:val="24"/>
          <w:szCs w:val="24"/>
        </w:rPr>
        <w:t>.</w:t>
      </w:r>
    </w:p>
    <w:p w14:paraId="429C532A" w14:textId="6D0D78DC" w:rsidR="00142937" w:rsidRPr="000274FE" w:rsidRDefault="00142937" w:rsidP="00142937">
      <w:pPr>
        <w:pStyle w:val="Heading2"/>
        <w:rPr>
          <w:rFonts w:cstheme="minorHAnsi"/>
          <w:sz w:val="24"/>
          <w:szCs w:val="24"/>
          <w:shd w:val="clear" w:color="auto" w:fill="FFFFFF"/>
        </w:rPr>
      </w:pPr>
      <w:r w:rsidRPr="000274FE">
        <w:rPr>
          <w:rFonts w:cstheme="minorHAnsi"/>
          <w:sz w:val="24"/>
          <w:szCs w:val="24"/>
        </w:rPr>
        <w:t xml:space="preserve">In addition, </w:t>
      </w:r>
      <w:r w:rsidRPr="000274FE">
        <w:rPr>
          <w:rFonts w:cstheme="minorHAnsi"/>
          <w:sz w:val="24"/>
          <w:szCs w:val="24"/>
          <w:shd w:val="clear" w:color="auto" w:fill="FFFFFF"/>
        </w:rPr>
        <w:t xml:space="preserve">the Freedom of Information Act contains </w:t>
      </w:r>
      <w:proofErr w:type="gramStart"/>
      <w:r w:rsidRPr="000274FE">
        <w:rPr>
          <w:rFonts w:cstheme="minorHAnsi"/>
          <w:sz w:val="24"/>
          <w:szCs w:val="24"/>
          <w:shd w:val="clear" w:color="auto" w:fill="FFFFFF"/>
        </w:rPr>
        <w:t>a number of</w:t>
      </w:r>
      <w:proofErr w:type="gramEnd"/>
      <w:r w:rsidRPr="000274FE">
        <w:rPr>
          <w:rFonts w:cstheme="minorHAnsi"/>
          <w:sz w:val="24"/>
          <w:szCs w:val="24"/>
          <w:shd w:val="clear" w:color="auto" w:fill="FFFFFF"/>
        </w:rPr>
        <w:t xml:space="preserve"> exemptions that allow the Practice to withhold information from a requester. </w:t>
      </w:r>
      <w:r w:rsidR="00674AA4" w:rsidRPr="000274FE">
        <w:rPr>
          <w:rFonts w:cstheme="minorHAnsi"/>
          <w:sz w:val="24"/>
          <w:szCs w:val="24"/>
          <w:shd w:val="clear" w:color="auto" w:fill="FFFFFF"/>
        </w:rPr>
        <w:t xml:space="preserve"> </w:t>
      </w:r>
      <w:r w:rsidRPr="000274FE">
        <w:rPr>
          <w:rFonts w:cstheme="minorHAnsi"/>
          <w:sz w:val="24"/>
          <w:szCs w:val="24"/>
          <w:shd w:val="clear" w:color="auto" w:fill="FFFFFF"/>
        </w:rPr>
        <w:t xml:space="preserve">In some cases, it will allow the Practice to refuse to confirm or deny whether </w:t>
      </w:r>
      <w:r w:rsidR="00674AA4" w:rsidRPr="000274FE">
        <w:rPr>
          <w:rFonts w:cstheme="minorHAnsi"/>
          <w:sz w:val="24"/>
          <w:szCs w:val="24"/>
          <w:shd w:val="clear" w:color="auto" w:fill="FFFFFF"/>
        </w:rPr>
        <w:t>it holds</w:t>
      </w:r>
      <w:r w:rsidRPr="000274FE">
        <w:rPr>
          <w:rFonts w:cstheme="minorHAnsi"/>
          <w:sz w:val="24"/>
          <w:szCs w:val="24"/>
          <w:shd w:val="clear" w:color="auto" w:fill="FFFFFF"/>
        </w:rPr>
        <w:t xml:space="preserve"> information.</w:t>
      </w:r>
    </w:p>
    <w:p w14:paraId="022F42BC" w14:textId="6FEFFBAD" w:rsidR="00142937" w:rsidRPr="000274FE" w:rsidRDefault="00142937" w:rsidP="00142937">
      <w:pPr>
        <w:pStyle w:val="Heading2"/>
        <w:rPr>
          <w:rFonts w:cstheme="minorHAnsi"/>
          <w:sz w:val="24"/>
          <w:szCs w:val="24"/>
        </w:rPr>
      </w:pPr>
      <w:r w:rsidRPr="000274FE">
        <w:rPr>
          <w:rFonts w:cstheme="minorHAnsi"/>
          <w:color w:val="000000"/>
          <w:sz w:val="24"/>
          <w:szCs w:val="24"/>
          <w:shd w:val="clear" w:color="auto" w:fill="FFFFFF"/>
        </w:rPr>
        <w:t xml:space="preserve">The Practice can automatically withhold information because an exemption applies only if the exemption is ‘absolute’. </w:t>
      </w:r>
      <w:r w:rsidR="00674AA4"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This may be, for example, information </w:t>
      </w:r>
      <w:r w:rsidR="00674AA4" w:rsidRPr="000274FE">
        <w:rPr>
          <w:rFonts w:cstheme="minorHAnsi"/>
          <w:color w:val="000000"/>
          <w:sz w:val="24"/>
          <w:szCs w:val="24"/>
          <w:shd w:val="clear" w:color="auto" w:fill="FFFFFF"/>
        </w:rPr>
        <w:t>received</w:t>
      </w:r>
      <w:r w:rsidRPr="000274FE">
        <w:rPr>
          <w:rFonts w:cstheme="minorHAnsi"/>
          <w:color w:val="000000"/>
          <w:sz w:val="24"/>
          <w:szCs w:val="24"/>
          <w:shd w:val="clear" w:color="auto" w:fill="FFFFFF"/>
        </w:rPr>
        <w:t xml:space="preserve"> from the security services, which is covered by an absolute exemption. </w:t>
      </w:r>
      <w:r w:rsidR="00674AA4"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However, most exemptions are not absolute but require a public interest test. </w:t>
      </w:r>
      <w:r w:rsidR="00674AA4"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This means the public interest arguments </w:t>
      </w:r>
      <w:r w:rsidR="00674AA4" w:rsidRPr="000274FE">
        <w:rPr>
          <w:rFonts w:cstheme="minorHAnsi"/>
          <w:color w:val="000000"/>
          <w:sz w:val="24"/>
          <w:szCs w:val="24"/>
          <w:shd w:val="clear" w:color="auto" w:fill="FFFFFF"/>
        </w:rPr>
        <w:t xml:space="preserve">must be considered </w:t>
      </w:r>
      <w:r w:rsidRPr="000274FE">
        <w:rPr>
          <w:rFonts w:cstheme="minorHAnsi"/>
          <w:color w:val="000000"/>
          <w:sz w:val="24"/>
          <w:szCs w:val="24"/>
          <w:shd w:val="clear" w:color="auto" w:fill="FFFFFF"/>
        </w:rPr>
        <w:t xml:space="preserve">before deciding whether to disclose the information. </w:t>
      </w:r>
      <w:r w:rsidR="00674AA4" w:rsidRPr="000274FE">
        <w:rPr>
          <w:rFonts w:cstheme="minorHAnsi"/>
          <w:color w:val="000000"/>
          <w:sz w:val="24"/>
          <w:szCs w:val="24"/>
          <w:shd w:val="clear" w:color="auto" w:fill="FFFFFF"/>
        </w:rPr>
        <w:t xml:space="preserve"> The Practice</w:t>
      </w:r>
      <w:r w:rsidRPr="000274FE">
        <w:rPr>
          <w:rFonts w:cstheme="minorHAnsi"/>
          <w:color w:val="000000"/>
          <w:sz w:val="24"/>
          <w:szCs w:val="24"/>
          <w:shd w:val="clear" w:color="auto" w:fill="FFFFFF"/>
        </w:rPr>
        <w:t xml:space="preserve"> may have to disclose information</w:t>
      </w:r>
      <w:r w:rsidR="00674AA4" w:rsidRPr="000274FE">
        <w:rPr>
          <w:rFonts w:cstheme="minorHAnsi"/>
          <w:color w:val="000000"/>
          <w:sz w:val="24"/>
          <w:szCs w:val="24"/>
          <w:shd w:val="clear" w:color="auto" w:fill="FFFFFF"/>
        </w:rPr>
        <w:t>,</w:t>
      </w:r>
      <w:r w:rsidRPr="000274FE">
        <w:rPr>
          <w:rFonts w:cstheme="minorHAnsi"/>
          <w:color w:val="000000"/>
          <w:sz w:val="24"/>
          <w:szCs w:val="24"/>
          <w:shd w:val="clear" w:color="auto" w:fill="FFFFFF"/>
        </w:rPr>
        <w:t xml:space="preserve"> despite an exemption, where it is in the public interest to do so.</w:t>
      </w:r>
    </w:p>
    <w:p w14:paraId="6A1FDCEB" w14:textId="422D3B92" w:rsidR="00142937" w:rsidRPr="000274FE" w:rsidRDefault="00142937" w:rsidP="00142937">
      <w:pPr>
        <w:pStyle w:val="Heading2"/>
        <w:rPr>
          <w:rFonts w:cstheme="minorHAnsi"/>
          <w:sz w:val="24"/>
          <w:szCs w:val="24"/>
        </w:rPr>
      </w:pPr>
      <w:r w:rsidRPr="000274FE">
        <w:rPr>
          <w:rFonts w:cstheme="minorHAnsi"/>
          <w:color w:val="000000"/>
          <w:sz w:val="24"/>
          <w:szCs w:val="24"/>
          <w:shd w:val="clear" w:color="auto" w:fill="FFFFFF"/>
        </w:rPr>
        <w:t>If all or any part of a request</w:t>
      </w:r>
      <w:r w:rsidR="00674AA4" w:rsidRPr="000274FE">
        <w:rPr>
          <w:rFonts w:cstheme="minorHAnsi"/>
          <w:color w:val="000000"/>
          <w:sz w:val="24"/>
          <w:szCs w:val="24"/>
          <w:shd w:val="clear" w:color="auto" w:fill="FFFFFF"/>
        </w:rPr>
        <w:t xml:space="preserve"> is being refused</w:t>
      </w:r>
      <w:r w:rsidRPr="000274FE">
        <w:rPr>
          <w:rFonts w:cstheme="minorHAnsi"/>
          <w:color w:val="000000"/>
          <w:sz w:val="24"/>
          <w:szCs w:val="24"/>
          <w:shd w:val="clear" w:color="auto" w:fill="FFFFFF"/>
        </w:rPr>
        <w:t xml:space="preserve">, the requester </w:t>
      </w:r>
      <w:r w:rsidR="00674AA4" w:rsidRPr="000274FE">
        <w:rPr>
          <w:rFonts w:cstheme="minorHAnsi"/>
          <w:color w:val="000000"/>
          <w:sz w:val="24"/>
          <w:szCs w:val="24"/>
          <w:shd w:val="clear" w:color="auto" w:fill="FFFFFF"/>
        </w:rPr>
        <w:t xml:space="preserve">must be sent </w:t>
      </w:r>
      <w:r w:rsidRPr="000274FE">
        <w:rPr>
          <w:rFonts w:cstheme="minorHAnsi"/>
          <w:color w:val="000000"/>
          <w:sz w:val="24"/>
          <w:szCs w:val="24"/>
          <w:shd w:val="clear" w:color="auto" w:fill="FFFFFF"/>
        </w:rPr>
        <w:t xml:space="preserve">a written refusal notice. </w:t>
      </w:r>
      <w:r w:rsidR="00674AA4"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The Practice will need to issue a refusal notice if </w:t>
      </w:r>
      <w:r w:rsidR="00674AA4" w:rsidRPr="000274FE">
        <w:rPr>
          <w:rFonts w:cstheme="minorHAnsi"/>
          <w:color w:val="000000"/>
          <w:sz w:val="24"/>
          <w:szCs w:val="24"/>
          <w:shd w:val="clear" w:color="auto" w:fill="FFFFFF"/>
        </w:rPr>
        <w:t>it is</w:t>
      </w:r>
      <w:r w:rsidRPr="000274FE">
        <w:rPr>
          <w:rFonts w:cstheme="minorHAnsi"/>
          <w:color w:val="000000"/>
          <w:sz w:val="24"/>
          <w:szCs w:val="24"/>
          <w:shd w:val="clear" w:color="auto" w:fill="FFFFFF"/>
        </w:rPr>
        <w:t xml:space="preserve"> either refusing to say whether</w:t>
      </w:r>
      <w:r w:rsidR="00674AA4" w:rsidRPr="000274FE">
        <w:rPr>
          <w:rFonts w:cstheme="minorHAnsi"/>
          <w:color w:val="000000"/>
          <w:sz w:val="24"/>
          <w:szCs w:val="24"/>
          <w:shd w:val="clear" w:color="auto" w:fill="FFFFFF"/>
        </w:rPr>
        <w:t xml:space="preserve"> the</w:t>
      </w:r>
      <w:r w:rsidRPr="000274FE">
        <w:rPr>
          <w:rFonts w:cstheme="minorHAnsi"/>
          <w:color w:val="000000"/>
          <w:sz w:val="24"/>
          <w:szCs w:val="24"/>
          <w:shd w:val="clear" w:color="auto" w:fill="FFFFFF"/>
        </w:rPr>
        <w:t xml:space="preserve"> information </w:t>
      </w:r>
      <w:r w:rsidR="00674AA4" w:rsidRPr="000274FE">
        <w:rPr>
          <w:rFonts w:cstheme="minorHAnsi"/>
          <w:color w:val="000000"/>
          <w:sz w:val="24"/>
          <w:szCs w:val="24"/>
          <w:shd w:val="clear" w:color="auto" w:fill="FFFFFF"/>
        </w:rPr>
        <w:t xml:space="preserve">is held </w:t>
      </w:r>
      <w:r w:rsidRPr="000274FE">
        <w:rPr>
          <w:rFonts w:cstheme="minorHAnsi"/>
          <w:color w:val="000000"/>
          <w:sz w:val="24"/>
          <w:szCs w:val="24"/>
          <w:shd w:val="clear" w:color="auto" w:fill="FFFFFF"/>
        </w:rPr>
        <w:t xml:space="preserve">at </w:t>
      </w:r>
      <w:proofErr w:type="gramStart"/>
      <w:r w:rsidRPr="000274FE">
        <w:rPr>
          <w:rFonts w:cstheme="minorHAnsi"/>
          <w:color w:val="000000"/>
          <w:sz w:val="24"/>
          <w:szCs w:val="24"/>
          <w:shd w:val="clear" w:color="auto" w:fill="FFFFFF"/>
        </w:rPr>
        <w:t>all</w:t>
      </w:r>
      <w:r w:rsidR="00674AA4" w:rsidRPr="000274FE">
        <w:rPr>
          <w:rFonts w:cstheme="minorHAnsi"/>
          <w:color w:val="000000"/>
          <w:sz w:val="24"/>
          <w:szCs w:val="24"/>
          <w:shd w:val="clear" w:color="auto" w:fill="FFFFFF"/>
        </w:rPr>
        <w:t>,</w:t>
      </w:r>
      <w:r w:rsidRPr="000274FE">
        <w:rPr>
          <w:rFonts w:cstheme="minorHAnsi"/>
          <w:color w:val="000000"/>
          <w:sz w:val="24"/>
          <w:szCs w:val="24"/>
          <w:shd w:val="clear" w:color="auto" w:fill="FFFFFF"/>
        </w:rPr>
        <w:t xml:space="preserve"> or</w:t>
      </w:r>
      <w:proofErr w:type="gramEnd"/>
      <w:r w:rsidRPr="000274FE">
        <w:rPr>
          <w:rFonts w:cstheme="minorHAnsi"/>
          <w:color w:val="000000"/>
          <w:sz w:val="24"/>
          <w:szCs w:val="24"/>
          <w:shd w:val="clear" w:color="auto" w:fill="FFFFFF"/>
        </w:rPr>
        <w:t xml:space="preserve"> confirming that information is held but </w:t>
      </w:r>
      <w:r w:rsidR="00674AA4" w:rsidRPr="000274FE">
        <w:rPr>
          <w:rFonts w:cstheme="minorHAnsi"/>
          <w:color w:val="000000"/>
          <w:sz w:val="24"/>
          <w:szCs w:val="24"/>
          <w:shd w:val="clear" w:color="auto" w:fill="FFFFFF"/>
        </w:rPr>
        <w:t xml:space="preserve">the Practice is refusing </w:t>
      </w:r>
      <w:r w:rsidRPr="000274FE">
        <w:rPr>
          <w:rFonts w:cstheme="minorHAnsi"/>
          <w:color w:val="000000"/>
          <w:sz w:val="24"/>
          <w:szCs w:val="24"/>
          <w:shd w:val="clear" w:color="auto" w:fill="FFFFFF"/>
        </w:rPr>
        <w:t>to release it.</w:t>
      </w:r>
    </w:p>
    <w:p w14:paraId="636B0D2C" w14:textId="0B1DF8AC" w:rsidR="00142937" w:rsidRPr="000274FE" w:rsidRDefault="00142937" w:rsidP="009F065D">
      <w:pPr>
        <w:pStyle w:val="Heading2"/>
        <w:rPr>
          <w:sz w:val="24"/>
          <w:szCs w:val="24"/>
        </w:rPr>
      </w:pPr>
      <w:r w:rsidRPr="000274FE">
        <w:rPr>
          <w:sz w:val="24"/>
          <w:szCs w:val="24"/>
          <w:shd w:val="clear" w:color="auto" w:fill="FFFFFF"/>
        </w:rPr>
        <w:lastRenderedPageBreak/>
        <w:t>The Act recognises that FOI requests are not the only demand on the resources of a public authority. They should not be allowed to cause a drain on time, energy and finances to the extent that they negatively affect normal public functions.</w:t>
      </w:r>
      <w:r w:rsidRPr="000274FE">
        <w:rPr>
          <w:sz w:val="24"/>
          <w:szCs w:val="24"/>
          <w:shd w:val="clear" w:color="auto" w:fill="FFFFFF"/>
        </w:rPr>
        <w:br/>
      </w:r>
      <w:r w:rsidRPr="000864F9">
        <w:rPr>
          <w:shd w:val="clear" w:color="auto" w:fill="FFFFFF"/>
        </w:rPr>
        <w:br/>
      </w:r>
      <w:r w:rsidRPr="000274FE">
        <w:rPr>
          <w:b/>
          <w:bCs/>
          <w:color w:val="4472C4" w:themeColor="accent1"/>
          <w:sz w:val="24"/>
          <w:szCs w:val="24"/>
          <w:shd w:val="clear" w:color="auto" w:fill="FFFFFF"/>
        </w:rPr>
        <w:t>COST LIMIT</w:t>
      </w:r>
    </w:p>
    <w:p w14:paraId="1CE52DC0" w14:textId="669B81BA" w:rsidR="00142937" w:rsidRPr="000274FE" w:rsidRDefault="00142937" w:rsidP="005422D2">
      <w:pPr>
        <w:pStyle w:val="Heading2"/>
        <w:rPr>
          <w:sz w:val="24"/>
          <w:szCs w:val="24"/>
        </w:rPr>
      </w:pPr>
      <w:r w:rsidRPr="000274FE">
        <w:rPr>
          <w:sz w:val="24"/>
          <w:szCs w:val="24"/>
        </w:rPr>
        <w:t>Currently the cost limit for complying with a request</w:t>
      </w:r>
      <w:r w:rsidR="00674AA4" w:rsidRPr="000274FE">
        <w:rPr>
          <w:sz w:val="24"/>
          <w:szCs w:val="24"/>
        </w:rPr>
        <w:t>,</w:t>
      </w:r>
      <w:r w:rsidRPr="000274FE">
        <w:rPr>
          <w:sz w:val="24"/>
          <w:szCs w:val="24"/>
        </w:rPr>
        <w:t xml:space="preserve"> or a linked series of requests from the same person or group</w:t>
      </w:r>
      <w:r w:rsidR="00674AA4" w:rsidRPr="000274FE">
        <w:rPr>
          <w:sz w:val="24"/>
          <w:szCs w:val="24"/>
        </w:rPr>
        <w:t>,</w:t>
      </w:r>
      <w:r w:rsidRPr="000274FE">
        <w:rPr>
          <w:sz w:val="24"/>
          <w:szCs w:val="24"/>
        </w:rPr>
        <w:t xml:space="preserve"> is £450 for NHS services. </w:t>
      </w:r>
      <w:r w:rsidR="00674AA4" w:rsidRPr="000274FE">
        <w:rPr>
          <w:sz w:val="24"/>
          <w:szCs w:val="24"/>
        </w:rPr>
        <w:t xml:space="preserve"> </w:t>
      </w:r>
      <w:r w:rsidRPr="000274FE">
        <w:rPr>
          <w:sz w:val="24"/>
          <w:szCs w:val="24"/>
        </w:rPr>
        <w:t xml:space="preserve">When calculating the cost of compliance, the Practice can aggregate the costs of all related requests received within 60 working days from the same person or from a group of people who appear to be working together. </w:t>
      </w:r>
      <w:r w:rsidR="00674AA4" w:rsidRPr="000274FE">
        <w:rPr>
          <w:sz w:val="24"/>
          <w:szCs w:val="24"/>
        </w:rPr>
        <w:t xml:space="preserve"> </w:t>
      </w:r>
      <w:r w:rsidRPr="000274FE">
        <w:rPr>
          <w:sz w:val="24"/>
          <w:szCs w:val="24"/>
        </w:rPr>
        <w:t xml:space="preserve">The Practice can refuse a request if the estimates cost of compliance would exceed this limit, under s.12 FOIA. </w:t>
      </w:r>
      <w:r w:rsidR="00674AA4" w:rsidRPr="000274FE">
        <w:rPr>
          <w:sz w:val="24"/>
          <w:szCs w:val="24"/>
        </w:rPr>
        <w:t xml:space="preserve"> </w:t>
      </w:r>
      <w:r w:rsidRPr="000274FE">
        <w:rPr>
          <w:sz w:val="24"/>
          <w:szCs w:val="24"/>
        </w:rPr>
        <w:t xml:space="preserve">A request can be refused if deciding whether the Practice holds the information would exceed the cost limit, for example because it would require an extensive search in </w:t>
      </w:r>
      <w:proofErr w:type="gramStart"/>
      <w:r w:rsidRPr="000274FE">
        <w:rPr>
          <w:sz w:val="24"/>
          <w:szCs w:val="24"/>
        </w:rPr>
        <w:t>a number of</w:t>
      </w:r>
      <w:proofErr w:type="gramEnd"/>
      <w:r w:rsidRPr="000274FE">
        <w:rPr>
          <w:sz w:val="24"/>
          <w:szCs w:val="24"/>
        </w:rPr>
        <w:t xml:space="preserve"> locations. </w:t>
      </w:r>
      <w:r w:rsidR="00674AA4" w:rsidRPr="000274FE">
        <w:rPr>
          <w:sz w:val="24"/>
          <w:szCs w:val="24"/>
        </w:rPr>
        <w:t xml:space="preserve"> </w:t>
      </w:r>
      <w:r w:rsidRPr="000274FE">
        <w:rPr>
          <w:sz w:val="24"/>
          <w:szCs w:val="24"/>
        </w:rPr>
        <w:t xml:space="preserve">Otherwise, the Practice should state whether it holds the information, even if it cannot be provided under the cost ceiling. </w:t>
      </w:r>
    </w:p>
    <w:p w14:paraId="1F18CD48" w14:textId="5DCE01D2" w:rsidR="00142937" w:rsidRPr="000274FE" w:rsidRDefault="00142937" w:rsidP="005422D2">
      <w:pPr>
        <w:pStyle w:val="Heading2"/>
        <w:rPr>
          <w:sz w:val="24"/>
          <w:szCs w:val="24"/>
        </w:rPr>
      </w:pPr>
      <w:bookmarkStart w:id="0" w:name="_Hlk97627727"/>
      <w:r w:rsidRPr="000274FE">
        <w:rPr>
          <w:sz w:val="24"/>
          <w:szCs w:val="24"/>
        </w:rPr>
        <w:t xml:space="preserve">The Practice is only required to reasonably estimate whether the limit would be exceeded. </w:t>
      </w:r>
      <w:r w:rsidR="00D734DB" w:rsidRPr="000274FE">
        <w:rPr>
          <w:sz w:val="24"/>
          <w:szCs w:val="24"/>
        </w:rPr>
        <w:t xml:space="preserve"> </w:t>
      </w:r>
      <w:r w:rsidR="00674AA4" w:rsidRPr="000274FE">
        <w:rPr>
          <w:sz w:val="24"/>
          <w:szCs w:val="24"/>
        </w:rPr>
        <w:t>It does not</w:t>
      </w:r>
      <w:r w:rsidRPr="000274FE">
        <w:rPr>
          <w:sz w:val="24"/>
          <w:szCs w:val="24"/>
        </w:rPr>
        <w:t xml:space="preserve"> have to do the work covered by the estimate before deciding to refuse the request.</w:t>
      </w:r>
      <w:r w:rsidR="00D734DB" w:rsidRPr="000274FE">
        <w:rPr>
          <w:sz w:val="24"/>
          <w:szCs w:val="24"/>
        </w:rPr>
        <w:t xml:space="preserve"> </w:t>
      </w:r>
      <w:r w:rsidRPr="000274FE">
        <w:rPr>
          <w:sz w:val="24"/>
          <w:szCs w:val="24"/>
        </w:rPr>
        <w:t xml:space="preserve"> When estimating the costs, only the following activities can be </w:t>
      </w:r>
      <w:proofErr w:type="gramStart"/>
      <w:r w:rsidRPr="000274FE">
        <w:rPr>
          <w:sz w:val="24"/>
          <w:szCs w:val="24"/>
        </w:rPr>
        <w:t>taken into account</w:t>
      </w:r>
      <w:proofErr w:type="gramEnd"/>
      <w:r w:rsidRPr="000274FE">
        <w:rPr>
          <w:sz w:val="24"/>
          <w:szCs w:val="24"/>
        </w:rPr>
        <w:t xml:space="preserve">: </w:t>
      </w:r>
    </w:p>
    <w:p w14:paraId="15881548" w14:textId="5316C151" w:rsidR="00142937" w:rsidRPr="000274FE" w:rsidRDefault="00674AA4" w:rsidP="005422D2">
      <w:pPr>
        <w:pStyle w:val="ListBullet3"/>
        <w:rPr>
          <w:sz w:val="24"/>
          <w:szCs w:val="24"/>
        </w:rPr>
      </w:pPr>
      <w:r w:rsidRPr="000274FE">
        <w:rPr>
          <w:sz w:val="24"/>
          <w:szCs w:val="24"/>
        </w:rPr>
        <w:t>d</w:t>
      </w:r>
      <w:r w:rsidR="00142937" w:rsidRPr="000274FE">
        <w:rPr>
          <w:sz w:val="24"/>
          <w:szCs w:val="24"/>
        </w:rPr>
        <w:t>etermining whether the information</w:t>
      </w:r>
      <w:r w:rsidRPr="000274FE">
        <w:rPr>
          <w:sz w:val="24"/>
          <w:szCs w:val="24"/>
        </w:rPr>
        <w:t xml:space="preserve"> is </w:t>
      </w:r>
      <w:proofErr w:type="gramStart"/>
      <w:r w:rsidRPr="000274FE">
        <w:rPr>
          <w:sz w:val="24"/>
          <w:szCs w:val="24"/>
        </w:rPr>
        <w:t>held</w:t>
      </w:r>
      <w:r w:rsidR="00142937" w:rsidRPr="000274FE">
        <w:rPr>
          <w:sz w:val="24"/>
          <w:szCs w:val="24"/>
        </w:rPr>
        <w:t>;</w:t>
      </w:r>
      <w:proofErr w:type="gramEnd"/>
    </w:p>
    <w:p w14:paraId="20A521A2" w14:textId="30FC7569" w:rsidR="00142937" w:rsidRPr="000274FE" w:rsidRDefault="00674AA4" w:rsidP="005422D2">
      <w:pPr>
        <w:pStyle w:val="ListBullet3"/>
        <w:rPr>
          <w:sz w:val="24"/>
          <w:szCs w:val="24"/>
        </w:rPr>
      </w:pPr>
      <w:r w:rsidRPr="000274FE">
        <w:rPr>
          <w:sz w:val="24"/>
          <w:szCs w:val="24"/>
        </w:rPr>
        <w:t>f</w:t>
      </w:r>
      <w:r w:rsidR="00142937" w:rsidRPr="000274FE">
        <w:rPr>
          <w:sz w:val="24"/>
          <w:szCs w:val="24"/>
        </w:rPr>
        <w:t xml:space="preserve">inding the requested information, or records containing the </w:t>
      </w:r>
      <w:proofErr w:type="gramStart"/>
      <w:r w:rsidR="00142937" w:rsidRPr="000274FE">
        <w:rPr>
          <w:sz w:val="24"/>
          <w:szCs w:val="24"/>
        </w:rPr>
        <w:t>information;</w:t>
      </w:r>
      <w:proofErr w:type="gramEnd"/>
    </w:p>
    <w:p w14:paraId="7A07F959" w14:textId="556B5D4E" w:rsidR="00142937" w:rsidRPr="000274FE" w:rsidRDefault="00674AA4" w:rsidP="005422D2">
      <w:pPr>
        <w:pStyle w:val="ListBullet3"/>
        <w:rPr>
          <w:sz w:val="24"/>
          <w:szCs w:val="24"/>
        </w:rPr>
      </w:pPr>
      <w:r w:rsidRPr="000274FE">
        <w:rPr>
          <w:sz w:val="24"/>
          <w:szCs w:val="24"/>
        </w:rPr>
        <w:t>r</w:t>
      </w:r>
      <w:r w:rsidR="00142937" w:rsidRPr="000274FE">
        <w:rPr>
          <w:sz w:val="24"/>
          <w:szCs w:val="24"/>
        </w:rPr>
        <w:t>etrieving the information or records; and</w:t>
      </w:r>
    </w:p>
    <w:p w14:paraId="1EF5BFB3" w14:textId="518B1EB5" w:rsidR="00142937" w:rsidRPr="000274FE" w:rsidRDefault="00674AA4" w:rsidP="005422D2">
      <w:pPr>
        <w:pStyle w:val="ListBullet3"/>
        <w:rPr>
          <w:sz w:val="24"/>
          <w:szCs w:val="24"/>
        </w:rPr>
      </w:pPr>
      <w:r w:rsidRPr="000274FE">
        <w:rPr>
          <w:sz w:val="24"/>
          <w:szCs w:val="24"/>
        </w:rPr>
        <w:t>e</w:t>
      </w:r>
      <w:r w:rsidR="00142937" w:rsidRPr="000274FE">
        <w:rPr>
          <w:sz w:val="24"/>
          <w:szCs w:val="24"/>
        </w:rPr>
        <w:t xml:space="preserve">xtracting the requested information from records. </w:t>
      </w:r>
    </w:p>
    <w:p w14:paraId="54C7ECF3" w14:textId="40ACFD13" w:rsidR="00142937" w:rsidRPr="000274FE" w:rsidRDefault="00142937" w:rsidP="00142937">
      <w:pPr>
        <w:pStyle w:val="Heading2"/>
        <w:rPr>
          <w:rFonts w:cstheme="minorHAnsi"/>
          <w:sz w:val="24"/>
          <w:szCs w:val="24"/>
          <w:shd w:val="clear" w:color="auto" w:fill="FFFFFF"/>
        </w:rPr>
      </w:pPr>
      <w:r w:rsidRPr="000274FE">
        <w:rPr>
          <w:rFonts w:cstheme="minorHAnsi"/>
          <w:sz w:val="24"/>
          <w:szCs w:val="24"/>
          <w:shd w:val="clear" w:color="auto" w:fill="FFFFFF"/>
        </w:rPr>
        <w:t xml:space="preserve">The biggest cost is likely to be staff time. </w:t>
      </w:r>
      <w:r w:rsidR="00674AA4" w:rsidRPr="000274FE">
        <w:rPr>
          <w:rFonts w:cstheme="minorHAnsi"/>
          <w:sz w:val="24"/>
          <w:szCs w:val="24"/>
          <w:shd w:val="clear" w:color="auto" w:fill="FFFFFF"/>
        </w:rPr>
        <w:t xml:space="preserve"> </w:t>
      </w:r>
      <w:r w:rsidRPr="000274FE">
        <w:rPr>
          <w:rFonts w:cstheme="minorHAnsi"/>
          <w:sz w:val="24"/>
          <w:szCs w:val="24"/>
          <w:shd w:val="clear" w:color="auto" w:fill="FFFFFF"/>
        </w:rPr>
        <w:t xml:space="preserve">Staff time will be rated at £25 per person per hour, regardless of who does the work, including external contractors. </w:t>
      </w:r>
      <w:r w:rsidR="00674AA4" w:rsidRPr="000274FE">
        <w:rPr>
          <w:rFonts w:cstheme="minorHAnsi"/>
          <w:sz w:val="24"/>
          <w:szCs w:val="24"/>
          <w:shd w:val="clear" w:color="auto" w:fill="FFFFFF"/>
        </w:rPr>
        <w:t xml:space="preserve"> </w:t>
      </w:r>
      <w:r w:rsidRPr="000274FE">
        <w:rPr>
          <w:rFonts w:cstheme="minorHAnsi"/>
          <w:sz w:val="24"/>
          <w:szCs w:val="24"/>
          <w:shd w:val="clear" w:color="auto" w:fill="FFFFFF"/>
        </w:rPr>
        <w:t xml:space="preserve">This totals at 18 hours of staff time. </w:t>
      </w:r>
      <w:r w:rsidR="009E5B19" w:rsidRPr="000274FE">
        <w:rPr>
          <w:rFonts w:cstheme="minorHAnsi"/>
          <w:sz w:val="24"/>
          <w:szCs w:val="24"/>
          <w:shd w:val="clear" w:color="auto" w:fill="FFFFFF"/>
        </w:rPr>
        <w:t xml:space="preserve"> </w:t>
      </w:r>
      <w:bookmarkEnd w:id="0"/>
      <w:r w:rsidR="009E5B19" w:rsidRPr="000274FE">
        <w:rPr>
          <w:rFonts w:cstheme="minorHAnsi"/>
          <w:sz w:val="24"/>
          <w:szCs w:val="24"/>
          <w:shd w:val="clear" w:color="auto" w:fill="FFFFFF"/>
        </w:rPr>
        <w:t>T</w:t>
      </w:r>
      <w:r w:rsidRPr="000274FE">
        <w:rPr>
          <w:rFonts w:cstheme="minorHAnsi"/>
          <w:sz w:val="24"/>
          <w:szCs w:val="24"/>
          <w:shd w:val="clear" w:color="auto" w:fill="FFFFFF"/>
        </w:rPr>
        <w:t xml:space="preserve">he Practice cannot </w:t>
      </w:r>
      <w:proofErr w:type="gramStart"/>
      <w:r w:rsidRPr="000274FE">
        <w:rPr>
          <w:rFonts w:cstheme="minorHAnsi"/>
          <w:sz w:val="24"/>
          <w:szCs w:val="24"/>
          <w:shd w:val="clear" w:color="auto" w:fill="FFFFFF"/>
        </w:rPr>
        <w:t>take into account</w:t>
      </w:r>
      <w:proofErr w:type="gramEnd"/>
      <w:r w:rsidRPr="000274FE">
        <w:rPr>
          <w:rFonts w:cstheme="minorHAnsi"/>
          <w:sz w:val="24"/>
          <w:szCs w:val="24"/>
          <w:shd w:val="clear" w:color="auto" w:fill="FFFFFF"/>
        </w:rPr>
        <w:t xml:space="preserve"> the time </w:t>
      </w:r>
      <w:r w:rsidR="00674AA4" w:rsidRPr="000274FE">
        <w:rPr>
          <w:rFonts w:cstheme="minorHAnsi"/>
          <w:sz w:val="24"/>
          <w:szCs w:val="24"/>
          <w:shd w:val="clear" w:color="auto" w:fill="FFFFFF"/>
        </w:rPr>
        <w:t>it is</w:t>
      </w:r>
      <w:r w:rsidRPr="000274FE">
        <w:rPr>
          <w:rFonts w:cstheme="minorHAnsi"/>
          <w:sz w:val="24"/>
          <w:szCs w:val="24"/>
          <w:shd w:val="clear" w:color="auto" w:fill="FFFFFF"/>
        </w:rPr>
        <w:t xml:space="preserve"> likely to need to decide whether exemptions apply, to redact exempt information, or to carry out the public interest test.</w:t>
      </w:r>
      <w:r w:rsidR="00674AA4" w:rsidRPr="000274FE">
        <w:rPr>
          <w:rFonts w:cstheme="minorHAnsi"/>
          <w:sz w:val="24"/>
          <w:szCs w:val="24"/>
          <w:shd w:val="clear" w:color="auto" w:fill="FFFFFF"/>
        </w:rPr>
        <w:t xml:space="preserve"> </w:t>
      </w:r>
      <w:r w:rsidRPr="000274FE">
        <w:rPr>
          <w:rFonts w:cstheme="minorHAnsi"/>
          <w:sz w:val="24"/>
          <w:szCs w:val="24"/>
          <w:shd w:val="clear" w:color="auto" w:fill="FFFFFF"/>
        </w:rPr>
        <w:t xml:space="preserve"> However, if the cost and resources required to review and remove any exempt information are likely to be so great as to place the organisation under a grossly oppressive burden then </w:t>
      </w:r>
      <w:r w:rsidR="00674AA4" w:rsidRPr="000274FE">
        <w:rPr>
          <w:rFonts w:cstheme="minorHAnsi"/>
          <w:sz w:val="24"/>
          <w:szCs w:val="24"/>
          <w:shd w:val="clear" w:color="auto" w:fill="FFFFFF"/>
        </w:rPr>
        <w:t xml:space="preserve">the Practice </w:t>
      </w:r>
      <w:r w:rsidRPr="000274FE">
        <w:rPr>
          <w:rFonts w:cstheme="minorHAnsi"/>
          <w:sz w:val="24"/>
          <w:szCs w:val="24"/>
          <w:shd w:val="clear" w:color="auto" w:fill="FFFFFF"/>
        </w:rPr>
        <w:t>may be able to consider the request under Section 14 (vexatious or repeated requests) instead.</w:t>
      </w:r>
    </w:p>
    <w:p w14:paraId="14DA0597" w14:textId="16A5CEE6" w:rsidR="00142937" w:rsidRPr="000274FE" w:rsidRDefault="00142937" w:rsidP="00142937">
      <w:pPr>
        <w:pStyle w:val="Heading2"/>
        <w:rPr>
          <w:rFonts w:cstheme="minorHAnsi"/>
          <w:sz w:val="24"/>
          <w:szCs w:val="24"/>
        </w:rPr>
      </w:pPr>
      <w:bookmarkStart w:id="1" w:name="_Hlk97627854"/>
      <w:r w:rsidRPr="000274FE">
        <w:rPr>
          <w:rFonts w:cstheme="minorHAnsi"/>
          <w:color w:val="000000"/>
          <w:sz w:val="24"/>
          <w:szCs w:val="24"/>
          <w:shd w:val="clear" w:color="auto" w:fill="FFFFFF"/>
        </w:rPr>
        <w:t xml:space="preserve">If the Practice wishes to use Section 12 (cost limit) of the Act as grounds for refusing the request, the requester </w:t>
      </w:r>
      <w:r w:rsidR="00674AA4" w:rsidRPr="000274FE">
        <w:rPr>
          <w:rFonts w:cstheme="minorHAnsi"/>
          <w:color w:val="000000"/>
          <w:sz w:val="24"/>
          <w:szCs w:val="24"/>
          <w:shd w:val="clear" w:color="auto" w:fill="FFFFFF"/>
        </w:rPr>
        <w:t xml:space="preserve">should be sent </w:t>
      </w:r>
      <w:r w:rsidRPr="000274FE">
        <w:rPr>
          <w:rFonts w:cstheme="minorHAnsi"/>
          <w:color w:val="000000"/>
          <w:sz w:val="24"/>
          <w:szCs w:val="24"/>
          <w:shd w:val="clear" w:color="auto" w:fill="FFFFFF"/>
        </w:rPr>
        <w:t xml:space="preserve">a written refusal notice. </w:t>
      </w:r>
      <w:r w:rsidR="00674AA4"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This should state that complying with their request would exceed the appropriate cost limit. </w:t>
      </w:r>
      <w:r w:rsidR="00674AA4"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However, </w:t>
      </w:r>
      <w:r w:rsidR="00674AA4" w:rsidRPr="000274FE">
        <w:rPr>
          <w:rFonts w:cstheme="minorHAnsi"/>
          <w:color w:val="000000"/>
          <w:sz w:val="24"/>
          <w:szCs w:val="24"/>
          <w:shd w:val="clear" w:color="auto" w:fill="FFFFFF"/>
        </w:rPr>
        <w:t>the Practice</w:t>
      </w:r>
      <w:r w:rsidRPr="000274FE">
        <w:rPr>
          <w:rFonts w:cstheme="minorHAnsi"/>
          <w:color w:val="000000"/>
          <w:sz w:val="24"/>
          <w:szCs w:val="24"/>
          <w:shd w:val="clear" w:color="auto" w:fill="FFFFFF"/>
        </w:rPr>
        <w:t xml:space="preserve"> should still say whether </w:t>
      </w:r>
      <w:r w:rsidR="00674AA4" w:rsidRPr="000274FE">
        <w:rPr>
          <w:rFonts w:cstheme="minorHAnsi"/>
          <w:color w:val="000000"/>
          <w:sz w:val="24"/>
          <w:szCs w:val="24"/>
          <w:shd w:val="clear" w:color="auto" w:fill="FFFFFF"/>
        </w:rPr>
        <w:t>it</w:t>
      </w:r>
      <w:r w:rsidRPr="000274FE">
        <w:rPr>
          <w:rFonts w:cstheme="minorHAnsi"/>
          <w:color w:val="000000"/>
          <w:sz w:val="24"/>
          <w:szCs w:val="24"/>
          <w:shd w:val="clear" w:color="auto" w:fill="FFFFFF"/>
        </w:rPr>
        <w:t xml:space="preserve"> hold</w:t>
      </w:r>
      <w:r w:rsidR="00674AA4" w:rsidRPr="000274FE">
        <w:rPr>
          <w:rFonts w:cstheme="minorHAnsi"/>
          <w:color w:val="000000"/>
          <w:sz w:val="24"/>
          <w:szCs w:val="24"/>
          <w:shd w:val="clear" w:color="auto" w:fill="FFFFFF"/>
        </w:rPr>
        <w:t xml:space="preserve">s </w:t>
      </w:r>
      <w:r w:rsidRPr="000274FE">
        <w:rPr>
          <w:rFonts w:cstheme="minorHAnsi"/>
          <w:color w:val="000000"/>
          <w:sz w:val="24"/>
          <w:szCs w:val="24"/>
          <w:shd w:val="clear" w:color="auto" w:fill="FFFFFF"/>
        </w:rPr>
        <w:t xml:space="preserve">the information, unless finding this out would </w:t>
      </w:r>
      <w:proofErr w:type="gramStart"/>
      <w:r w:rsidRPr="000274FE">
        <w:rPr>
          <w:rFonts w:cstheme="minorHAnsi"/>
          <w:color w:val="000000"/>
          <w:sz w:val="24"/>
          <w:szCs w:val="24"/>
          <w:shd w:val="clear" w:color="auto" w:fill="FFFFFF"/>
        </w:rPr>
        <w:t>in itself incur</w:t>
      </w:r>
      <w:proofErr w:type="gramEnd"/>
      <w:r w:rsidRPr="000274FE">
        <w:rPr>
          <w:rFonts w:cstheme="minorHAnsi"/>
          <w:color w:val="000000"/>
          <w:sz w:val="24"/>
          <w:szCs w:val="24"/>
          <w:shd w:val="clear" w:color="auto" w:fill="FFFFFF"/>
        </w:rPr>
        <w:t xml:space="preserve"> costs over the limit.</w:t>
      </w:r>
    </w:p>
    <w:p w14:paraId="0B152722" w14:textId="6315F0B1" w:rsidR="00142937" w:rsidRPr="000274FE" w:rsidRDefault="00142937" w:rsidP="00142937">
      <w:pPr>
        <w:pStyle w:val="Heading2"/>
        <w:rPr>
          <w:rFonts w:cstheme="minorHAnsi"/>
          <w:sz w:val="24"/>
          <w:szCs w:val="24"/>
        </w:rPr>
      </w:pPr>
      <w:r w:rsidRPr="000274FE">
        <w:rPr>
          <w:rFonts w:cstheme="minorHAnsi"/>
          <w:color w:val="000000"/>
          <w:sz w:val="24"/>
          <w:szCs w:val="24"/>
          <w:shd w:val="clear" w:color="auto" w:fill="FFFFFF"/>
        </w:rPr>
        <w:t>There is no official requirement for the Practice to include an estimate of the costs in the refusal notice.</w:t>
      </w:r>
      <w:r w:rsidR="00674AA4"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 However, the requester </w:t>
      </w:r>
      <w:r w:rsidR="00674AA4" w:rsidRPr="000274FE">
        <w:rPr>
          <w:rFonts w:cstheme="minorHAnsi"/>
          <w:color w:val="000000"/>
          <w:sz w:val="24"/>
          <w:szCs w:val="24"/>
          <w:shd w:val="clear" w:color="auto" w:fill="FFFFFF"/>
        </w:rPr>
        <w:t xml:space="preserve">must be given </w:t>
      </w:r>
      <w:r w:rsidRPr="000274FE">
        <w:rPr>
          <w:rFonts w:cstheme="minorHAnsi"/>
          <w:color w:val="000000"/>
          <w:sz w:val="24"/>
          <w:szCs w:val="24"/>
          <w:shd w:val="clear" w:color="auto" w:fill="FFFFFF"/>
        </w:rPr>
        <w:t xml:space="preserve">reasonable advice and assistance to refine (change or narrow) their request. </w:t>
      </w:r>
      <w:r w:rsidR="00674AA4"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This will generally involve explaining why the limit would be exceeded and what information, if any, may be available within the limits. </w:t>
      </w:r>
      <w:r w:rsidR="00674AA4" w:rsidRPr="000274FE">
        <w:rPr>
          <w:rFonts w:cstheme="minorHAnsi"/>
          <w:color w:val="000000"/>
          <w:sz w:val="24"/>
          <w:szCs w:val="24"/>
          <w:shd w:val="clear" w:color="auto" w:fill="FFFFFF"/>
        </w:rPr>
        <w:t xml:space="preserve"> </w:t>
      </w:r>
      <w:bookmarkEnd w:id="1"/>
      <w:r w:rsidRPr="000274FE">
        <w:rPr>
          <w:rFonts w:cstheme="minorHAnsi"/>
          <w:color w:val="000000"/>
          <w:sz w:val="24"/>
          <w:szCs w:val="24"/>
          <w:shd w:val="clear" w:color="auto" w:fill="FFFFFF"/>
        </w:rPr>
        <w:t>The Practice will not:</w:t>
      </w:r>
    </w:p>
    <w:p w14:paraId="458AFC72" w14:textId="4DA0940C" w:rsidR="00142937" w:rsidRPr="000274FE" w:rsidRDefault="00674AA4" w:rsidP="005422D2">
      <w:pPr>
        <w:pStyle w:val="ListBullet3"/>
        <w:rPr>
          <w:sz w:val="24"/>
          <w:szCs w:val="24"/>
        </w:rPr>
      </w:pPr>
      <w:r w:rsidRPr="000274FE">
        <w:rPr>
          <w:sz w:val="24"/>
          <w:szCs w:val="24"/>
        </w:rPr>
        <w:lastRenderedPageBreak/>
        <w:t>g</w:t>
      </w:r>
      <w:r w:rsidR="00142937" w:rsidRPr="000274FE">
        <w:rPr>
          <w:sz w:val="24"/>
          <w:szCs w:val="24"/>
        </w:rPr>
        <w:t>ive the request</w:t>
      </w:r>
      <w:r w:rsidRPr="000274FE">
        <w:rPr>
          <w:sz w:val="24"/>
          <w:szCs w:val="24"/>
        </w:rPr>
        <w:t>e</w:t>
      </w:r>
      <w:r w:rsidR="00142937" w:rsidRPr="000274FE">
        <w:rPr>
          <w:sz w:val="24"/>
          <w:szCs w:val="24"/>
        </w:rPr>
        <w:t xml:space="preserve">r part of the information requested, without giving them the chance to say which part they would prefer to </w:t>
      </w:r>
      <w:proofErr w:type="gramStart"/>
      <w:r w:rsidR="00142937" w:rsidRPr="000274FE">
        <w:rPr>
          <w:sz w:val="24"/>
          <w:szCs w:val="24"/>
        </w:rPr>
        <w:t>receive;</w:t>
      </w:r>
      <w:proofErr w:type="gramEnd"/>
    </w:p>
    <w:p w14:paraId="00038AFE" w14:textId="5E0A7A6F" w:rsidR="00142937" w:rsidRPr="000274FE" w:rsidRDefault="00674AA4" w:rsidP="005422D2">
      <w:pPr>
        <w:pStyle w:val="ListBullet3"/>
        <w:rPr>
          <w:sz w:val="24"/>
          <w:szCs w:val="24"/>
        </w:rPr>
      </w:pPr>
      <w:r w:rsidRPr="000274FE">
        <w:rPr>
          <w:sz w:val="24"/>
          <w:szCs w:val="24"/>
        </w:rPr>
        <w:t>f</w:t>
      </w:r>
      <w:r w:rsidR="00142937" w:rsidRPr="000274FE">
        <w:rPr>
          <w:sz w:val="24"/>
          <w:szCs w:val="24"/>
        </w:rPr>
        <w:t>ail to let the request</w:t>
      </w:r>
      <w:r w:rsidRPr="000274FE">
        <w:rPr>
          <w:sz w:val="24"/>
          <w:szCs w:val="24"/>
        </w:rPr>
        <w:t>e</w:t>
      </w:r>
      <w:r w:rsidR="00142937" w:rsidRPr="000274FE">
        <w:rPr>
          <w:sz w:val="24"/>
          <w:szCs w:val="24"/>
        </w:rPr>
        <w:t xml:space="preserve">r know why the information </w:t>
      </w:r>
      <w:r w:rsidRPr="000274FE">
        <w:rPr>
          <w:sz w:val="24"/>
          <w:szCs w:val="24"/>
        </w:rPr>
        <w:t xml:space="preserve">cannot be provided </w:t>
      </w:r>
      <w:r w:rsidR="00142937" w:rsidRPr="000274FE">
        <w:rPr>
          <w:sz w:val="24"/>
          <w:szCs w:val="24"/>
        </w:rPr>
        <w:t xml:space="preserve">within the cost </w:t>
      </w:r>
      <w:proofErr w:type="gramStart"/>
      <w:r w:rsidR="00142937" w:rsidRPr="000274FE">
        <w:rPr>
          <w:sz w:val="24"/>
          <w:szCs w:val="24"/>
        </w:rPr>
        <w:t>limit;</w:t>
      </w:r>
      <w:proofErr w:type="gramEnd"/>
    </w:p>
    <w:p w14:paraId="22F7E321" w14:textId="70263447" w:rsidR="00142937" w:rsidRPr="000274FE" w:rsidRDefault="00674AA4" w:rsidP="005422D2">
      <w:pPr>
        <w:pStyle w:val="ListBullet3"/>
        <w:rPr>
          <w:sz w:val="24"/>
          <w:szCs w:val="24"/>
        </w:rPr>
      </w:pPr>
      <w:r w:rsidRPr="000274FE">
        <w:rPr>
          <w:sz w:val="24"/>
          <w:szCs w:val="24"/>
        </w:rPr>
        <w:t>a</w:t>
      </w:r>
      <w:r w:rsidR="00142937" w:rsidRPr="000274FE">
        <w:rPr>
          <w:sz w:val="24"/>
          <w:szCs w:val="24"/>
        </w:rPr>
        <w:t>dvise the requestor on the wording of a narrower request but then refuse that request on the same basis; or</w:t>
      </w:r>
    </w:p>
    <w:p w14:paraId="1AD12CF4" w14:textId="24C16E80" w:rsidR="00142937" w:rsidRPr="000274FE" w:rsidRDefault="00674AA4" w:rsidP="005422D2">
      <w:pPr>
        <w:pStyle w:val="ListBullet3"/>
        <w:rPr>
          <w:sz w:val="24"/>
          <w:szCs w:val="24"/>
        </w:rPr>
      </w:pPr>
      <w:r w:rsidRPr="000274FE">
        <w:rPr>
          <w:sz w:val="24"/>
          <w:szCs w:val="24"/>
        </w:rPr>
        <w:t>t</w:t>
      </w:r>
      <w:r w:rsidR="00142937" w:rsidRPr="000274FE">
        <w:rPr>
          <w:sz w:val="24"/>
          <w:szCs w:val="24"/>
        </w:rPr>
        <w:t>ell the requestor to narrow down their request without explaining what parts of their request take costs over the limit.</w:t>
      </w:r>
      <w:r w:rsidRPr="000274FE">
        <w:rPr>
          <w:sz w:val="24"/>
          <w:szCs w:val="24"/>
        </w:rPr>
        <w:t xml:space="preserve"> </w:t>
      </w:r>
      <w:r w:rsidR="00142937" w:rsidRPr="000274FE">
        <w:rPr>
          <w:sz w:val="24"/>
          <w:szCs w:val="24"/>
        </w:rPr>
        <w:t xml:space="preserve"> A more specific request may sometimes take just as long to answer. </w:t>
      </w:r>
    </w:p>
    <w:p w14:paraId="65B64446" w14:textId="0552C1B1" w:rsidR="00142937" w:rsidRPr="000274FE" w:rsidRDefault="00142937" w:rsidP="00142937">
      <w:pPr>
        <w:pStyle w:val="Heading2"/>
        <w:rPr>
          <w:rFonts w:cstheme="minorHAnsi"/>
          <w:sz w:val="24"/>
          <w:szCs w:val="24"/>
          <w:shd w:val="clear" w:color="auto" w:fill="FFFFFF"/>
        </w:rPr>
      </w:pPr>
      <w:r w:rsidRPr="000274FE">
        <w:rPr>
          <w:rFonts w:cstheme="minorHAnsi"/>
          <w:sz w:val="24"/>
          <w:szCs w:val="24"/>
        </w:rPr>
        <w:t xml:space="preserve">If the </w:t>
      </w:r>
      <w:r w:rsidRPr="000274FE">
        <w:rPr>
          <w:rFonts w:cstheme="minorHAnsi"/>
          <w:sz w:val="24"/>
          <w:szCs w:val="24"/>
          <w:shd w:val="clear" w:color="auto" w:fill="FFFFFF"/>
        </w:rPr>
        <w:t>requester refines their request appropriately, the Practi</w:t>
      </w:r>
      <w:r w:rsidR="00674AA4" w:rsidRPr="000274FE">
        <w:rPr>
          <w:rFonts w:cstheme="minorHAnsi"/>
          <w:sz w:val="24"/>
          <w:szCs w:val="24"/>
          <w:shd w:val="clear" w:color="auto" w:fill="FFFFFF"/>
        </w:rPr>
        <w:t>c</w:t>
      </w:r>
      <w:r w:rsidRPr="000274FE">
        <w:rPr>
          <w:rFonts w:cstheme="minorHAnsi"/>
          <w:sz w:val="24"/>
          <w:szCs w:val="24"/>
          <w:shd w:val="clear" w:color="auto" w:fill="FFFFFF"/>
        </w:rPr>
        <w:t xml:space="preserve">e will deal with this as a new request. </w:t>
      </w:r>
      <w:r w:rsidR="00674AA4" w:rsidRPr="000274FE">
        <w:rPr>
          <w:rFonts w:cstheme="minorHAnsi"/>
          <w:sz w:val="24"/>
          <w:szCs w:val="24"/>
          <w:shd w:val="clear" w:color="auto" w:fill="FFFFFF"/>
        </w:rPr>
        <w:t xml:space="preserve"> </w:t>
      </w:r>
      <w:r w:rsidRPr="000274FE">
        <w:rPr>
          <w:rFonts w:cstheme="minorHAnsi"/>
          <w:sz w:val="24"/>
          <w:szCs w:val="24"/>
          <w:shd w:val="clear" w:color="auto" w:fill="FFFFFF"/>
        </w:rPr>
        <w:t>The time to comply with the new request will start on the working day after the date it is received.</w:t>
      </w:r>
      <w:r w:rsidR="00444BC6" w:rsidRPr="000274FE">
        <w:rPr>
          <w:rFonts w:cstheme="minorHAnsi"/>
          <w:sz w:val="24"/>
          <w:szCs w:val="24"/>
          <w:shd w:val="clear" w:color="auto" w:fill="FFFFFF"/>
        </w:rPr>
        <w:t xml:space="preserve"> </w:t>
      </w:r>
      <w:r w:rsidRPr="000274FE">
        <w:rPr>
          <w:rFonts w:cstheme="minorHAnsi"/>
          <w:sz w:val="24"/>
          <w:szCs w:val="24"/>
          <w:shd w:val="clear" w:color="auto" w:fill="FFFFFF"/>
        </w:rPr>
        <w:t xml:space="preserve"> If the requester does not want to refine their request, but instead asks </w:t>
      </w:r>
      <w:r w:rsidR="00444BC6" w:rsidRPr="000274FE">
        <w:rPr>
          <w:rFonts w:cstheme="minorHAnsi"/>
          <w:sz w:val="24"/>
          <w:szCs w:val="24"/>
          <w:shd w:val="clear" w:color="auto" w:fill="FFFFFF"/>
        </w:rPr>
        <w:t xml:space="preserve">the Practice </w:t>
      </w:r>
      <w:r w:rsidRPr="000274FE">
        <w:rPr>
          <w:rFonts w:cstheme="minorHAnsi"/>
          <w:sz w:val="24"/>
          <w:szCs w:val="24"/>
          <w:shd w:val="clear" w:color="auto" w:fill="FFFFFF"/>
        </w:rPr>
        <w:t>to search for information up to the costs limit, the Practice can do this</w:t>
      </w:r>
      <w:r w:rsidR="00444BC6" w:rsidRPr="000274FE">
        <w:rPr>
          <w:rFonts w:cstheme="minorHAnsi"/>
          <w:sz w:val="24"/>
          <w:szCs w:val="24"/>
          <w:shd w:val="clear" w:color="auto" w:fill="FFFFFF"/>
        </w:rPr>
        <w:t>,</w:t>
      </w:r>
      <w:r w:rsidRPr="000274FE">
        <w:rPr>
          <w:rFonts w:cstheme="minorHAnsi"/>
          <w:sz w:val="24"/>
          <w:szCs w:val="24"/>
          <w:shd w:val="clear" w:color="auto" w:fill="FFFFFF"/>
        </w:rPr>
        <w:t xml:space="preserve"> but the Act does not require </w:t>
      </w:r>
      <w:r w:rsidR="00444BC6" w:rsidRPr="000274FE">
        <w:rPr>
          <w:rFonts w:cstheme="minorHAnsi"/>
          <w:sz w:val="24"/>
          <w:szCs w:val="24"/>
          <w:shd w:val="clear" w:color="auto" w:fill="FFFFFF"/>
        </w:rPr>
        <w:t>it</w:t>
      </w:r>
      <w:r w:rsidRPr="000274FE">
        <w:rPr>
          <w:rFonts w:cstheme="minorHAnsi"/>
          <w:sz w:val="24"/>
          <w:szCs w:val="24"/>
          <w:shd w:val="clear" w:color="auto" w:fill="FFFFFF"/>
        </w:rPr>
        <w:t xml:space="preserve"> to do so.</w:t>
      </w:r>
    </w:p>
    <w:p w14:paraId="1C661965" w14:textId="63C0EF3F" w:rsidR="00142937" w:rsidRPr="000274FE" w:rsidRDefault="00142937" w:rsidP="00142937">
      <w:pPr>
        <w:pStyle w:val="Heading2"/>
        <w:rPr>
          <w:rFonts w:cstheme="minorHAnsi"/>
          <w:sz w:val="24"/>
          <w:szCs w:val="24"/>
        </w:rPr>
      </w:pPr>
      <w:r w:rsidRPr="000274FE">
        <w:rPr>
          <w:rFonts w:cstheme="minorHAnsi"/>
          <w:sz w:val="24"/>
          <w:szCs w:val="24"/>
        </w:rPr>
        <w:t>I</w:t>
      </w:r>
      <w:r w:rsidRPr="000274FE">
        <w:rPr>
          <w:rFonts w:cstheme="minorHAnsi"/>
          <w:color w:val="000000"/>
          <w:sz w:val="24"/>
          <w:szCs w:val="24"/>
          <w:shd w:val="clear" w:color="auto" w:fill="FFFFFF"/>
        </w:rPr>
        <w:t xml:space="preserve">f complying with a request would cost the Practice more than the £450, </w:t>
      </w:r>
      <w:r w:rsidR="00444BC6" w:rsidRPr="000274FE">
        <w:rPr>
          <w:rFonts w:cstheme="minorHAnsi"/>
          <w:color w:val="000000"/>
          <w:sz w:val="24"/>
          <w:szCs w:val="24"/>
          <w:shd w:val="clear" w:color="auto" w:fill="FFFFFF"/>
        </w:rPr>
        <w:t>the request can be refused</w:t>
      </w:r>
      <w:r w:rsidRPr="000274FE">
        <w:rPr>
          <w:rFonts w:cstheme="minorHAnsi"/>
          <w:color w:val="000000"/>
          <w:sz w:val="24"/>
          <w:szCs w:val="24"/>
          <w:shd w:val="clear" w:color="auto" w:fill="FFFFFF"/>
        </w:rPr>
        <w:t xml:space="preserve"> outright</w:t>
      </w:r>
      <w:r w:rsidR="00444BC6" w:rsidRPr="000274FE">
        <w:rPr>
          <w:rFonts w:cstheme="minorHAnsi"/>
          <w:color w:val="000000"/>
          <w:sz w:val="24"/>
          <w:szCs w:val="24"/>
          <w:shd w:val="clear" w:color="auto" w:fill="FFFFFF"/>
        </w:rPr>
        <w:t>,</w:t>
      </w:r>
      <w:r w:rsidRPr="000274FE">
        <w:rPr>
          <w:rFonts w:cstheme="minorHAnsi"/>
          <w:color w:val="000000"/>
          <w:sz w:val="24"/>
          <w:szCs w:val="24"/>
          <w:shd w:val="clear" w:color="auto" w:fill="FFFFFF"/>
        </w:rPr>
        <w:t xml:space="preserve"> or the work </w:t>
      </w:r>
      <w:r w:rsidR="00444BC6" w:rsidRPr="000274FE">
        <w:rPr>
          <w:rFonts w:cstheme="minorHAnsi"/>
          <w:color w:val="000000"/>
          <w:sz w:val="24"/>
          <w:szCs w:val="24"/>
          <w:shd w:val="clear" w:color="auto" w:fill="FFFFFF"/>
        </w:rPr>
        <w:t xml:space="preserve">can be done </w:t>
      </w:r>
      <w:r w:rsidRPr="000274FE">
        <w:rPr>
          <w:rFonts w:cstheme="minorHAnsi"/>
          <w:color w:val="000000"/>
          <w:sz w:val="24"/>
          <w:szCs w:val="24"/>
          <w:shd w:val="clear" w:color="auto" w:fill="FFFFFF"/>
        </w:rPr>
        <w:t>for an extra charge.</w:t>
      </w:r>
      <w:r w:rsidR="00444BC6"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 If </w:t>
      </w:r>
      <w:r w:rsidR="00444BC6" w:rsidRPr="000274FE">
        <w:rPr>
          <w:rFonts w:cstheme="minorHAnsi"/>
          <w:color w:val="000000"/>
          <w:sz w:val="24"/>
          <w:szCs w:val="24"/>
          <w:shd w:val="clear" w:color="auto" w:fill="FFFFFF"/>
        </w:rPr>
        <w:t>the Practice chooses</w:t>
      </w:r>
      <w:r w:rsidRPr="000274FE">
        <w:rPr>
          <w:rFonts w:cstheme="minorHAnsi"/>
          <w:color w:val="000000"/>
          <w:sz w:val="24"/>
          <w:szCs w:val="24"/>
          <w:shd w:val="clear" w:color="auto" w:fill="FFFFFF"/>
        </w:rPr>
        <w:t xml:space="preserve"> to comply with a request costing over £450, </w:t>
      </w:r>
      <w:r w:rsidR="00444BC6" w:rsidRPr="000274FE">
        <w:rPr>
          <w:rFonts w:cstheme="minorHAnsi"/>
          <w:color w:val="000000"/>
          <w:sz w:val="24"/>
          <w:szCs w:val="24"/>
          <w:shd w:val="clear" w:color="auto" w:fill="FFFFFF"/>
        </w:rPr>
        <w:t>it can</w:t>
      </w:r>
      <w:r w:rsidRPr="000274FE">
        <w:rPr>
          <w:rFonts w:cstheme="minorHAnsi"/>
          <w:color w:val="000000"/>
          <w:sz w:val="24"/>
          <w:szCs w:val="24"/>
          <w:shd w:val="clear" w:color="auto" w:fill="FFFFFF"/>
        </w:rPr>
        <w:t xml:space="preserve"> charge:</w:t>
      </w:r>
    </w:p>
    <w:p w14:paraId="13E8FF53" w14:textId="5911AD5D" w:rsidR="00142937" w:rsidRPr="000274FE" w:rsidRDefault="00444BC6" w:rsidP="005422D2">
      <w:pPr>
        <w:pStyle w:val="ListBullet3"/>
        <w:rPr>
          <w:sz w:val="24"/>
          <w:szCs w:val="24"/>
        </w:rPr>
      </w:pPr>
      <w:r w:rsidRPr="000274FE">
        <w:rPr>
          <w:sz w:val="24"/>
          <w:szCs w:val="24"/>
        </w:rPr>
        <w:t>t</w:t>
      </w:r>
      <w:r w:rsidR="00142937" w:rsidRPr="000274FE">
        <w:rPr>
          <w:sz w:val="24"/>
          <w:szCs w:val="24"/>
        </w:rPr>
        <w:t>he cost of compliance (the costs allowed in calculating whether the appropriate limit is exceeded); plus</w:t>
      </w:r>
    </w:p>
    <w:p w14:paraId="6C97DF80" w14:textId="006BB678" w:rsidR="00142937" w:rsidRPr="000274FE" w:rsidRDefault="00444BC6" w:rsidP="005422D2">
      <w:pPr>
        <w:pStyle w:val="ListBullet3"/>
        <w:rPr>
          <w:sz w:val="24"/>
          <w:szCs w:val="24"/>
        </w:rPr>
      </w:pPr>
      <w:r w:rsidRPr="000274FE">
        <w:rPr>
          <w:sz w:val="24"/>
          <w:szCs w:val="24"/>
        </w:rPr>
        <w:t>t</w:t>
      </w:r>
      <w:r w:rsidR="00142937" w:rsidRPr="000274FE">
        <w:rPr>
          <w:sz w:val="24"/>
          <w:szCs w:val="24"/>
        </w:rPr>
        <w:t>he communication costs; plus</w:t>
      </w:r>
    </w:p>
    <w:p w14:paraId="1966353A" w14:textId="77777777" w:rsidR="00142937" w:rsidRPr="000274FE" w:rsidRDefault="00142937" w:rsidP="005422D2">
      <w:pPr>
        <w:pStyle w:val="ListBullet3"/>
        <w:rPr>
          <w:sz w:val="24"/>
          <w:szCs w:val="24"/>
        </w:rPr>
      </w:pPr>
      <w:r w:rsidRPr="000274FE">
        <w:rPr>
          <w:sz w:val="24"/>
          <w:szCs w:val="24"/>
        </w:rPr>
        <w:t xml:space="preserve">£25 an hour for staff time taken for printing, copying or sending the information. </w:t>
      </w:r>
    </w:p>
    <w:p w14:paraId="7C2988B0" w14:textId="116A411D" w:rsidR="000864F9" w:rsidRPr="000274FE" w:rsidRDefault="00142937" w:rsidP="00142937">
      <w:pPr>
        <w:pStyle w:val="Heading2"/>
        <w:rPr>
          <w:rFonts w:cstheme="minorHAnsi"/>
          <w:sz w:val="24"/>
          <w:szCs w:val="24"/>
          <w:shd w:val="clear" w:color="auto" w:fill="FFFFFF"/>
        </w:rPr>
      </w:pPr>
      <w:r w:rsidRPr="000274FE">
        <w:rPr>
          <w:rFonts w:cstheme="minorHAnsi"/>
          <w:sz w:val="24"/>
          <w:szCs w:val="24"/>
        </w:rPr>
        <w:t xml:space="preserve">The Practice will not </w:t>
      </w:r>
      <w:r w:rsidRPr="000274FE">
        <w:rPr>
          <w:rFonts w:cstheme="minorHAnsi"/>
          <w:sz w:val="24"/>
          <w:szCs w:val="24"/>
          <w:shd w:val="clear" w:color="auto" w:fill="FFFFFF"/>
        </w:rPr>
        <w:t xml:space="preserve">do this work without </w:t>
      </w:r>
      <w:r w:rsidR="00444BC6" w:rsidRPr="000274FE">
        <w:rPr>
          <w:rFonts w:cstheme="minorHAnsi"/>
          <w:sz w:val="24"/>
          <w:szCs w:val="24"/>
          <w:shd w:val="clear" w:color="auto" w:fill="FFFFFF"/>
        </w:rPr>
        <w:t>receiving</w:t>
      </w:r>
      <w:r w:rsidRPr="000274FE">
        <w:rPr>
          <w:rFonts w:cstheme="minorHAnsi"/>
          <w:sz w:val="24"/>
          <w:szCs w:val="24"/>
          <w:shd w:val="clear" w:color="auto" w:fill="FFFFFF"/>
        </w:rPr>
        <w:t xml:space="preserve"> written agreement from the requester that they will pay the extra costs. </w:t>
      </w:r>
      <w:r w:rsidR="00444BC6" w:rsidRPr="000274FE">
        <w:rPr>
          <w:rFonts w:cstheme="minorHAnsi"/>
          <w:sz w:val="24"/>
          <w:szCs w:val="24"/>
          <w:shd w:val="clear" w:color="auto" w:fill="FFFFFF"/>
        </w:rPr>
        <w:t xml:space="preserve"> T</w:t>
      </w:r>
      <w:r w:rsidRPr="000274FE">
        <w:rPr>
          <w:rFonts w:cstheme="minorHAnsi"/>
          <w:sz w:val="24"/>
          <w:szCs w:val="24"/>
          <w:shd w:val="clear" w:color="auto" w:fill="FFFFFF"/>
        </w:rPr>
        <w:t xml:space="preserve">he requester </w:t>
      </w:r>
      <w:r w:rsidR="00444BC6" w:rsidRPr="000274FE">
        <w:rPr>
          <w:rFonts w:cstheme="minorHAnsi"/>
          <w:sz w:val="24"/>
          <w:szCs w:val="24"/>
          <w:shd w:val="clear" w:color="auto" w:fill="FFFFFF"/>
        </w:rPr>
        <w:t xml:space="preserve">will also be given </w:t>
      </w:r>
      <w:r w:rsidRPr="000274FE">
        <w:rPr>
          <w:rFonts w:cstheme="minorHAnsi"/>
          <w:sz w:val="24"/>
          <w:szCs w:val="24"/>
          <w:shd w:val="clear" w:color="auto" w:fill="FFFFFF"/>
        </w:rPr>
        <w:t xml:space="preserve">the option of refining their request rather than paying extra. </w:t>
      </w:r>
      <w:r w:rsidR="00444BC6" w:rsidRPr="000274FE">
        <w:rPr>
          <w:rFonts w:cstheme="minorHAnsi"/>
          <w:sz w:val="24"/>
          <w:szCs w:val="24"/>
          <w:shd w:val="clear" w:color="auto" w:fill="FFFFFF"/>
        </w:rPr>
        <w:t xml:space="preserve"> </w:t>
      </w:r>
      <w:r w:rsidRPr="000274FE">
        <w:rPr>
          <w:rFonts w:cstheme="minorHAnsi"/>
          <w:sz w:val="24"/>
          <w:szCs w:val="24"/>
          <w:shd w:val="clear" w:color="auto" w:fill="FFFFFF"/>
        </w:rPr>
        <w:t>The ‘time for compliance’ clock is paused in these circumstances, until payment</w:t>
      </w:r>
      <w:r w:rsidR="00444BC6" w:rsidRPr="000274FE">
        <w:rPr>
          <w:rFonts w:cstheme="minorHAnsi"/>
          <w:sz w:val="24"/>
          <w:szCs w:val="24"/>
          <w:shd w:val="clear" w:color="auto" w:fill="FFFFFF"/>
        </w:rPr>
        <w:t xml:space="preserve"> is received</w:t>
      </w:r>
      <w:r w:rsidRPr="000274FE">
        <w:rPr>
          <w:rFonts w:cstheme="minorHAnsi"/>
          <w:sz w:val="24"/>
          <w:szCs w:val="24"/>
          <w:shd w:val="clear" w:color="auto" w:fill="FFFFFF"/>
        </w:rPr>
        <w:t>.</w:t>
      </w:r>
    </w:p>
    <w:p w14:paraId="0114B223" w14:textId="606DC48B" w:rsidR="00142937" w:rsidRPr="000274FE" w:rsidRDefault="00142937" w:rsidP="00444BC6">
      <w:pPr>
        <w:pStyle w:val="Section"/>
        <w:ind w:firstLine="720"/>
        <w:rPr>
          <w:sz w:val="24"/>
          <w:shd w:val="clear" w:color="auto" w:fill="FFFFFF"/>
        </w:rPr>
      </w:pPr>
      <w:r w:rsidRPr="000274FE">
        <w:rPr>
          <w:sz w:val="24"/>
          <w:shd w:val="clear" w:color="auto" w:fill="FFFFFF"/>
        </w:rPr>
        <w:t>VEXATIOUS REQUESTS</w:t>
      </w:r>
    </w:p>
    <w:p w14:paraId="1202A7CF" w14:textId="7EF5AB40" w:rsidR="00142937" w:rsidRPr="000274FE" w:rsidRDefault="00142937" w:rsidP="00142937">
      <w:pPr>
        <w:pStyle w:val="Heading2"/>
        <w:rPr>
          <w:rFonts w:cstheme="minorHAnsi"/>
          <w:sz w:val="24"/>
          <w:szCs w:val="24"/>
        </w:rPr>
      </w:pPr>
      <w:proofErr w:type="gramStart"/>
      <w:r w:rsidRPr="000274FE">
        <w:rPr>
          <w:rFonts w:cstheme="minorHAnsi"/>
          <w:color w:val="000000"/>
          <w:sz w:val="24"/>
          <w:szCs w:val="24"/>
          <w:shd w:val="clear" w:color="auto" w:fill="FFFFFF"/>
        </w:rPr>
        <w:t>As a general rule</w:t>
      </w:r>
      <w:proofErr w:type="gramEnd"/>
      <w:r w:rsidRPr="000274FE">
        <w:rPr>
          <w:rFonts w:cstheme="minorHAnsi"/>
          <w:color w:val="000000"/>
          <w:sz w:val="24"/>
          <w:szCs w:val="24"/>
          <w:shd w:val="clear" w:color="auto" w:fill="FFFFFF"/>
        </w:rPr>
        <w:t xml:space="preserve">, the Practice will not take into account the identity or intentions of a requester when considering whether to comply with a request for information. </w:t>
      </w:r>
      <w:r w:rsidR="00444BC6"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The Practice cannot refuse a request simply because it does not seem to be of much value. </w:t>
      </w:r>
      <w:r w:rsidR="00444BC6"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However, a minority of requesters may sometimes abuse their rights under the Act, which can threaten to undermine the credibility of the freedom of information system and divert resources away from more deserving requests and other public business.</w:t>
      </w:r>
    </w:p>
    <w:p w14:paraId="0AEC616F" w14:textId="358191D5" w:rsidR="00142937" w:rsidRPr="000274FE" w:rsidRDefault="00142937" w:rsidP="00142937">
      <w:pPr>
        <w:pStyle w:val="Heading2"/>
        <w:rPr>
          <w:rFonts w:cstheme="minorHAnsi"/>
          <w:sz w:val="24"/>
          <w:szCs w:val="24"/>
        </w:rPr>
      </w:pPr>
      <w:r w:rsidRPr="000274FE">
        <w:rPr>
          <w:rFonts w:cstheme="minorHAnsi"/>
          <w:color w:val="000000"/>
          <w:sz w:val="24"/>
          <w:szCs w:val="24"/>
          <w:shd w:val="clear" w:color="auto" w:fill="FFFFFF"/>
        </w:rPr>
        <w:t xml:space="preserve">The Practice can refuse to comply with a request that is vexatious. </w:t>
      </w:r>
      <w:r w:rsidR="00444BC6"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If so, </w:t>
      </w:r>
      <w:r w:rsidR="00444BC6" w:rsidRPr="000274FE">
        <w:rPr>
          <w:rFonts w:cstheme="minorHAnsi"/>
          <w:color w:val="000000"/>
          <w:sz w:val="24"/>
          <w:szCs w:val="24"/>
          <w:shd w:val="clear" w:color="auto" w:fill="FFFFFF"/>
        </w:rPr>
        <w:t>it does</w:t>
      </w:r>
      <w:r w:rsidRPr="000274FE">
        <w:rPr>
          <w:rFonts w:cstheme="minorHAnsi"/>
          <w:color w:val="000000"/>
          <w:sz w:val="24"/>
          <w:szCs w:val="24"/>
          <w:shd w:val="clear" w:color="auto" w:fill="FFFFFF"/>
        </w:rPr>
        <w:t xml:space="preserve"> not have to comply with any part of it, or even confirm or deny whether </w:t>
      </w:r>
      <w:r w:rsidR="00444BC6" w:rsidRPr="000274FE">
        <w:rPr>
          <w:rFonts w:cstheme="minorHAnsi"/>
          <w:color w:val="000000"/>
          <w:sz w:val="24"/>
          <w:szCs w:val="24"/>
          <w:shd w:val="clear" w:color="auto" w:fill="FFFFFF"/>
        </w:rPr>
        <w:t>the</w:t>
      </w:r>
      <w:r w:rsidRPr="000274FE">
        <w:rPr>
          <w:rFonts w:cstheme="minorHAnsi"/>
          <w:color w:val="000000"/>
          <w:sz w:val="24"/>
          <w:szCs w:val="24"/>
          <w:shd w:val="clear" w:color="auto" w:fill="FFFFFF"/>
        </w:rPr>
        <w:t xml:space="preserve"> information</w:t>
      </w:r>
      <w:r w:rsidR="00444BC6" w:rsidRPr="000274FE">
        <w:rPr>
          <w:rFonts w:cstheme="minorHAnsi"/>
          <w:color w:val="000000"/>
          <w:sz w:val="24"/>
          <w:szCs w:val="24"/>
          <w:shd w:val="clear" w:color="auto" w:fill="FFFFFF"/>
        </w:rPr>
        <w:t xml:space="preserve"> is held</w:t>
      </w:r>
      <w:r w:rsidRPr="000274FE">
        <w:rPr>
          <w:rFonts w:cstheme="minorHAnsi"/>
          <w:color w:val="000000"/>
          <w:sz w:val="24"/>
          <w:szCs w:val="24"/>
          <w:shd w:val="clear" w:color="auto" w:fill="FFFFFF"/>
        </w:rPr>
        <w:t>.</w:t>
      </w:r>
      <w:r w:rsidR="00444BC6"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 When assessing whether a request is vexatious, the Act </w:t>
      </w:r>
      <w:r w:rsidR="00444BC6" w:rsidRPr="000274FE">
        <w:rPr>
          <w:rFonts w:cstheme="minorHAnsi"/>
          <w:color w:val="000000"/>
          <w:sz w:val="24"/>
          <w:szCs w:val="24"/>
          <w:shd w:val="clear" w:color="auto" w:fill="FFFFFF"/>
        </w:rPr>
        <w:t>permits the Practice</w:t>
      </w:r>
      <w:r w:rsidRPr="000274FE">
        <w:rPr>
          <w:rFonts w:cstheme="minorHAnsi"/>
          <w:color w:val="000000"/>
          <w:sz w:val="24"/>
          <w:szCs w:val="24"/>
          <w:shd w:val="clear" w:color="auto" w:fill="FFFFFF"/>
        </w:rPr>
        <w:t xml:space="preserve"> to </w:t>
      </w:r>
      <w:proofErr w:type="gramStart"/>
      <w:r w:rsidRPr="000274FE">
        <w:rPr>
          <w:rFonts w:cstheme="minorHAnsi"/>
          <w:color w:val="000000"/>
          <w:sz w:val="24"/>
          <w:szCs w:val="24"/>
          <w:shd w:val="clear" w:color="auto" w:fill="FFFFFF"/>
        </w:rPr>
        <w:t>take into account</w:t>
      </w:r>
      <w:proofErr w:type="gramEnd"/>
      <w:r w:rsidRPr="000274FE">
        <w:rPr>
          <w:rFonts w:cstheme="minorHAnsi"/>
          <w:color w:val="000000"/>
          <w:sz w:val="24"/>
          <w:szCs w:val="24"/>
          <w:shd w:val="clear" w:color="auto" w:fill="FFFFFF"/>
        </w:rPr>
        <w:t xml:space="preserve"> the context and history of a request, including the identity of the requester and any previous contact with them. </w:t>
      </w:r>
      <w:r w:rsidR="00444BC6"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The decision to refuse a request often follows a long series of requests and correspondence.</w:t>
      </w:r>
    </w:p>
    <w:p w14:paraId="296284E7" w14:textId="79D94E80" w:rsidR="00142937" w:rsidRPr="000274FE" w:rsidRDefault="00142937" w:rsidP="00142937">
      <w:pPr>
        <w:pStyle w:val="Heading2"/>
        <w:rPr>
          <w:rFonts w:cstheme="minorHAnsi"/>
          <w:sz w:val="24"/>
          <w:szCs w:val="24"/>
        </w:rPr>
      </w:pPr>
      <w:r w:rsidRPr="000274FE">
        <w:rPr>
          <w:rFonts w:cstheme="minorHAnsi"/>
          <w:color w:val="000000"/>
          <w:sz w:val="24"/>
          <w:szCs w:val="24"/>
          <w:shd w:val="clear" w:color="auto" w:fill="FFFFFF"/>
        </w:rPr>
        <w:lastRenderedPageBreak/>
        <w:t xml:space="preserve">The Practice will bear in mind that it is the request that is considered vexatious, not the requester. </w:t>
      </w:r>
      <w:r w:rsidR="00444BC6"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If after refusing a request as vexatious a subsequent request from the same person</w:t>
      </w:r>
      <w:r w:rsidR="00444BC6" w:rsidRPr="000274FE">
        <w:rPr>
          <w:rFonts w:cstheme="minorHAnsi"/>
          <w:color w:val="000000"/>
          <w:sz w:val="24"/>
          <w:szCs w:val="24"/>
          <w:shd w:val="clear" w:color="auto" w:fill="FFFFFF"/>
        </w:rPr>
        <w:t xml:space="preserve"> is received</w:t>
      </w:r>
      <w:r w:rsidRPr="000274FE">
        <w:rPr>
          <w:rFonts w:cstheme="minorHAnsi"/>
          <w:color w:val="000000"/>
          <w:sz w:val="24"/>
          <w:szCs w:val="24"/>
          <w:shd w:val="clear" w:color="auto" w:fill="FFFFFF"/>
        </w:rPr>
        <w:t xml:space="preserve">, </w:t>
      </w:r>
      <w:r w:rsidR="00444BC6" w:rsidRPr="000274FE">
        <w:rPr>
          <w:rFonts w:cstheme="minorHAnsi"/>
          <w:color w:val="000000"/>
          <w:sz w:val="24"/>
          <w:szCs w:val="24"/>
          <w:shd w:val="clear" w:color="auto" w:fill="FFFFFF"/>
        </w:rPr>
        <w:t>it can only be refused</w:t>
      </w:r>
      <w:r w:rsidRPr="000274FE">
        <w:rPr>
          <w:rFonts w:cstheme="minorHAnsi"/>
          <w:color w:val="000000"/>
          <w:sz w:val="24"/>
          <w:szCs w:val="24"/>
          <w:shd w:val="clear" w:color="auto" w:fill="FFFFFF"/>
        </w:rPr>
        <w:t xml:space="preserve"> if it also meets the criteria for being vexatious.</w:t>
      </w:r>
    </w:p>
    <w:p w14:paraId="43915C22" w14:textId="20A58408" w:rsidR="00142937" w:rsidRPr="000274FE" w:rsidRDefault="00142937" w:rsidP="00142937">
      <w:pPr>
        <w:pStyle w:val="Heading2"/>
        <w:rPr>
          <w:rFonts w:cstheme="minorHAnsi"/>
          <w:sz w:val="24"/>
          <w:szCs w:val="24"/>
        </w:rPr>
      </w:pPr>
      <w:r w:rsidRPr="000274FE">
        <w:rPr>
          <w:rFonts w:cstheme="minorHAnsi"/>
          <w:color w:val="000000"/>
          <w:sz w:val="24"/>
          <w:szCs w:val="24"/>
          <w:shd w:val="clear" w:color="auto" w:fill="FFFFFF"/>
        </w:rPr>
        <w:t xml:space="preserve">The Practice should be prepared to find a request vexatious in legitimate </w:t>
      </w:r>
      <w:proofErr w:type="gramStart"/>
      <w:r w:rsidRPr="000274FE">
        <w:rPr>
          <w:rFonts w:cstheme="minorHAnsi"/>
          <w:color w:val="000000"/>
          <w:sz w:val="24"/>
          <w:szCs w:val="24"/>
          <w:shd w:val="clear" w:color="auto" w:fill="FFFFFF"/>
        </w:rPr>
        <w:t>circumstances, but</w:t>
      </w:r>
      <w:proofErr w:type="gramEnd"/>
      <w:r w:rsidRPr="000274FE">
        <w:rPr>
          <w:rFonts w:cstheme="minorHAnsi"/>
          <w:color w:val="000000"/>
          <w:sz w:val="24"/>
          <w:szCs w:val="24"/>
          <w:shd w:val="clear" w:color="auto" w:fill="FFFFFF"/>
        </w:rPr>
        <w:t xml:space="preserve"> should exercise care when refusing someone’s rights in this way.</w:t>
      </w:r>
      <w:r w:rsidRPr="000274FE">
        <w:rPr>
          <w:rFonts w:cstheme="minorHAnsi"/>
          <w:sz w:val="24"/>
          <w:szCs w:val="24"/>
        </w:rPr>
        <w:t xml:space="preserve"> </w:t>
      </w:r>
      <w:r w:rsidR="00444BC6" w:rsidRPr="000274FE">
        <w:rPr>
          <w:rFonts w:cstheme="minorHAnsi"/>
          <w:sz w:val="24"/>
          <w:szCs w:val="24"/>
        </w:rPr>
        <w:t xml:space="preserve"> </w:t>
      </w:r>
      <w:r w:rsidRPr="000274FE">
        <w:rPr>
          <w:rFonts w:cstheme="minorHAnsi"/>
          <w:color w:val="000000"/>
          <w:sz w:val="24"/>
          <w:szCs w:val="24"/>
          <w:shd w:val="clear" w:color="auto" w:fill="FFFFFF"/>
        </w:rPr>
        <w:t xml:space="preserve">Further guidance on vexatious requests can be obtained from the </w:t>
      </w:r>
      <w:hyperlink r:id="rId32" w:history="1">
        <w:r w:rsidRPr="000274FE">
          <w:rPr>
            <w:rFonts w:cstheme="minorHAnsi"/>
            <w:sz w:val="24"/>
            <w:szCs w:val="24"/>
            <w:shd w:val="clear" w:color="auto" w:fill="FFFFFF"/>
          </w:rPr>
          <w:t>ICO</w:t>
        </w:r>
      </w:hyperlink>
      <w:r w:rsidRPr="000274FE">
        <w:rPr>
          <w:rFonts w:cstheme="minorHAnsi"/>
          <w:color w:val="000000"/>
          <w:sz w:val="24"/>
          <w:szCs w:val="24"/>
          <w:shd w:val="clear" w:color="auto" w:fill="FFFFFF"/>
        </w:rPr>
        <w:t>.</w:t>
      </w:r>
    </w:p>
    <w:p w14:paraId="3A886E1D" w14:textId="13A0162E" w:rsidR="00142937" w:rsidRPr="000274FE" w:rsidRDefault="00142937" w:rsidP="00142937">
      <w:pPr>
        <w:pStyle w:val="Heading2"/>
        <w:rPr>
          <w:rFonts w:cstheme="minorHAnsi"/>
          <w:sz w:val="24"/>
          <w:szCs w:val="24"/>
        </w:rPr>
      </w:pPr>
      <w:r w:rsidRPr="000274FE">
        <w:rPr>
          <w:rFonts w:cstheme="minorHAnsi"/>
          <w:color w:val="000000"/>
          <w:sz w:val="24"/>
          <w:szCs w:val="24"/>
          <w:shd w:val="clear" w:color="auto" w:fill="FFFFFF"/>
        </w:rPr>
        <w:t xml:space="preserve">The Practice can refuse requests if they are repeated, </w:t>
      </w:r>
      <w:proofErr w:type="gramStart"/>
      <w:r w:rsidRPr="000274FE">
        <w:rPr>
          <w:rFonts w:cstheme="minorHAnsi"/>
          <w:color w:val="000000"/>
          <w:sz w:val="24"/>
          <w:szCs w:val="24"/>
          <w:shd w:val="clear" w:color="auto" w:fill="FFFFFF"/>
        </w:rPr>
        <w:t>whether or not</w:t>
      </w:r>
      <w:proofErr w:type="gramEnd"/>
      <w:r w:rsidRPr="000274FE">
        <w:rPr>
          <w:rFonts w:cstheme="minorHAnsi"/>
          <w:color w:val="000000"/>
          <w:sz w:val="24"/>
          <w:szCs w:val="24"/>
          <w:shd w:val="clear" w:color="auto" w:fill="FFFFFF"/>
        </w:rPr>
        <w:t xml:space="preserve"> they are also vexatious. </w:t>
      </w:r>
      <w:r w:rsidR="00444BC6"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Requests can normally be refused if </w:t>
      </w:r>
      <w:r w:rsidR="00444BC6" w:rsidRPr="000274FE">
        <w:rPr>
          <w:rFonts w:cstheme="minorHAnsi"/>
          <w:color w:val="000000"/>
          <w:sz w:val="24"/>
          <w:szCs w:val="24"/>
          <w:shd w:val="clear" w:color="auto" w:fill="FFFFFF"/>
        </w:rPr>
        <w:t>they are</w:t>
      </w:r>
      <w:r w:rsidRPr="000274FE">
        <w:rPr>
          <w:rFonts w:cstheme="minorHAnsi"/>
          <w:color w:val="000000"/>
          <w:sz w:val="24"/>
          <w:szCs w:val="24"/>
          <w:shd w:val="clear" w:color="auto" w:fill="FFFFFF"/>
        </w:rPr>
        <w:t xml:space="preserve"> identical or substantially </w:t>
      </w:r>
      <w:proofErr w:type="gramStart"/>
      <w:r w:rsidRPr="000274FE">
        <w:rPr>
          <w:rFonts w:cstheme="minorHAnsi"/>
          <w:color w:val="000000"/>
          <w:sz w:val="24"/>
          <w:szCs w:val="24"/>
          <w:shd w:val="clear" w:color="auto" w:fill="FFFFFF"/>
        </w:rPr>
        <w:t>similar to</w:t>
      </w:r>
      <w:proofErr w:type="gramEnd"/>
      <w:r w:rsidRPr="000274FE">
        <w:rPr>
          <w:rFonts w:cstheme="minorHAnsi"/>
          <w:color w:val="000000"/>
          <w:sz w:val="24"/>
          <w:szCs w:val="24"/>
          <w:shd w:val="clear" w:color="auto" w:fill="FFFFFF"/>
        </w:rPr>
        <w:t xml:space="preserve"> one</w:t>
      </w:r>
      <w:r w:rsidR="00444BC6" w:rsidRPr="000274FE">
        <w:rPr>
          <w:rFonts w:cstheme="minorHAnsi"/>
          <w:color w:val="000000"/>
          <w:sz w:val="24"/>
          <w:szCs w:val="24"/>
          <w:shd w:val="clear" w:color="auto" w:fill="FFFFFF"/>
        </w:rPr>
        <w:t>s</w:t>
      </w:r>
      <w:r w:rsidRPr="000274FE">
        <w:rPr>
          <w:rFonts w:cstheme="minorHAnsi"/>
          <w:color w:val="000000"/>
          <w:sz w:val="24"/>
          <w:szCs w:val="24"/>
          <w:shd w:val="clear" w:color="auto" w:fill="FFFFFF"/>
        </w:rPr>
        <w:t xml:space="preserve"> previously complied with from the same requester. </w:t>
      </w:r>
      <w:r w:rsidR="00444BC6" w:rsidRPr="000274FE">
        <w:rPr>
          <w:rFonts w:cstheme="minorHAnsi"/>
          <w:color w:val="000000"/>
          <w:sz w:val="24"/>
          <w:szCs w:val="24"/>
          <w:shd w:val="clear" w:color="auto" w:fill="FFFFFF"/>
        </w:rPr>
        <w:t xml:space="preserve"> The Practice </w:t>
      </w:r>
      <w:r w:rsidRPr="000274FE">
        <w:rPr>
          <w:rFonts w:cstheme="minorHAnsi"/>
          <w:color w:val="000000"/>
          <w:sz w:val="24"/>
          <w:szCs w:val="24"/>
          <w:shd w:val="clear" w:color="auto" w:fill="FFFFFF"/>
        </w:rPr>
        <w:t xml:space="preserve">cannot refuse a request from the same requester just because it is for information on a related topic, unless there is a complete or substantial overlap of the information. </w:t>
      </w:r>
    </w:p>
    <w:p w14:paraId="1EF523F5" w14:textId="4031507D" w:rsidR="00142937" w:rsidRPr="000274FE" w:rsidRDefault="00142937" w:rsidP="00142937">
      <w:pPr>
        <w:pStyle w:val="Heading2"/>
        <w:rPr>
          <w:rFonts w:cstheme="minorHAnsi"/>
          <w:sz w:val="24"/>
          <w:szCs w:val="24"/>
        </w:rPr>
      </w:pPr>
      <w:r w:rsidRPr="000274FE">
        <w:rPr>
          <w:rFonts w:cstheme="minorHAnsi"/>
          <w:color w:val="000000"/>
          <w:sz w:val="24"/>
          <w:szCs w:val="24"/>
          <w:shd w:val="clear" w:color="auto" w:fill="FFFFFF"/>
        </w:rPr>
        <w:t xml:space="preserve">However, the Practice cannot refuse a request as repeated once a reasonable period has passed. </w:t>
      </w:r>
      <w:r w:rsidR="00444BC6"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The reasonable period is not set down in law but depends on the circumstances, including, for example, how often the information </w:t>
      </w:r>
      <w:r w:rsidR="00444BC6" w:rsidRPr="000274FE">
        <w:rPr>
          <w:rFonts w:cstheme="minorHAnsi"/>
          <w:color w:val="000000"/>
          <w:sz w:val="24"/>
          <w:szCs w:val="24"/>
          <w:shd w:val="clear" w:color="auto" w:fill="FFFFFF"/>
        </w:rPr>
        <w:t>held by the Practice</w:t>
      </w:r>
      <w:r w:rsidRPr="000274FE">
        <w:rPr>
          <w:rFonts w:cstheme="minorHAnsi"/>
          <w:color w:val="000000"/>
          <w:sz w:val="24"/>
          <w:szCs w:val="24"/>
          <w:shd w:val="clear" w:color="auto" w:fill="FFFFFF"/>
        </w:rPr>
        <w:t xml:space="preserve"> changes. </w:t>
      </w:r>
      <w:r w:rsidR="00444BC6"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Further guidance on repeat requests can be obtained from the </w:t>
      </w:r>
      <w:hyperlink r:id="rId33" w:history="1">
        <w:r w:rsidRPr="000274FE">
          <w:rPr>
            <w:rFonts w:cstheme="minorHAnsi"/>
            <w:sz w:val="24"/>
            <w:szCs w:val="24"/>
            <w:shd w:val="clear" w:color="auto" w:fill="FFFFFF"/>
          </w:rPr>
          <w:t>ICO</w:t>
        </w:r>
      </w:hyperlink>
      <w:r w:rsidRPr="000274FE">
        <w:rPr>
          <w:rFonts w:cstheme="minorHAnsi"/>
          <w:color w:val="000000"/>
          <w:sz w:val="24"/>
          <w:szCs w:val="24"/>
          <w:shd w:val="clear" w:color="auto" w:fill="FFFFFF"/>
        </w:rPr>
        <w:t xml:space="preserve">. </w:t>
      </w:r>
    </w:p>
    <w:p w14:paraId="3D71242D" w14:textId="6C2B623D" w:rsidR="00142937" w:rsidRPr="000274FE" w:rsidRDefault="00444BC6" w:rsidP="00142937">
      <w:pPr>
        <w:pStyle w:val="Heading2"/>
        <w:rPr>
          <w:rFonts w:cstheme="minorHAnsi"/>
          <w:sz w:val="24"/>
          <w:szCs w:val="24"/>
        </w:rPr>
      </w:pPr>
      <w:r w:rsidRPr="000274FE">
        <w:rPr>
          <w:rFonts w:cstheme="minorHAnsi"/>
          <w:color w:val="000000"/>
          <w:sz w:val="24"/>
          <w:szCs w:val="24"/>
          <w:shd w:val="clear" w:color="auto" w:fill="FFFFFF"/>
        </w:rPr>
        <w:t xml:space="preserve">If the request is vexatious or repeated, </w:t>
      </w:r>
      <w:r w:rsidR="00142937" w:rsidRPr="000274FE">
        <w:rPr>
          <w:rFonts w:cstheme="minorHAnsi"/>
          <w:color w:val="000000"/>
          <w:sz w:val="24"/>
          <w:szCs w:val="24"/>
          <w:shd w:val="clear" w:color="auto" w:fill="FFFFFF"/>
        </w:rPr>
        <w:t>a written refusal notice</w:t>
      </w:r>
      <w:r w:rsidRPr="000274FE">
        <w:rPr>
          <w:rFonts w:cstheme="minorHAnsi"/>
          <w:color w:val="000000"/>
          <w:sz w:val="24"/>
          <w:szCs w:val="24"/>
          <w:shd w:val="clear" w:color="auto" w:fill="FFFFFF"/>
        </w:rPr>
        <w:t xml:space="preserve"> will be sent to the requester.  This only needs to state</w:t>
      </w:r>
      <w:r w:rsidR="00142937" w:rsidRPr="000274FE">
        <w:rPr>
          <w:rFonts w:cstheme="minorHAnsi"/>
          <w:color w:val="000000"/>
          <w:sz w:val="24"/>
          <w:szCs w:val="24"/>
          <w:shd w:val="clear" w:color="auto" w:fill="FFFFFF"/>
        </w:rPr>
        <w:t xml:space="preserve"> that this is the decision; </w:t>
      </w:r>
      <w:r w:rsidRPr="000274FE">
        <w:rPr>
          <w:rFonts w:cstheme="minorHAnsi"/>
          <w:color w:val="000000"/>
          <w:sz w:val="24"/>
          <w:szCs w:val="24"/>
          <w:shd w:val="clear" w:color="auto" w:fill="FFFFFF"/>
        </w:rPr>
        <w:t>it does not need to be</w:t>
      </w:r>
      <w:r w:rsidR="00142937" w:rsidRPr="000274FE">
        <w:rPr>
          <w:rFonts w:cstheme="minorHAnsi"/>
          <w:color w:val="000000"/>
          <w:sz w:val="24"/>
          <w:szCs w:val="24"/>
          <w:shd w:val="clear" w:color="auto" w:fill="FFFFFF"/>
        </w:rPr>
        <w:t xml:space="preserve"> explain</w:t>
      </w:r>
      <w:r w:rsidRPr="000274FE">
        <w:rPr>
          <w:rFonts w:cstheme="minorHAnsi"/>
          <w:color w:val="000000"/>
          <w:sz w:val="24"/>
          <w:szCs w:val="24"/>
          <w:shd w:val="clear" w:color="auto" w:fill="FFFFFF"/>
        </w:rPr>
        <w:t>ed</w:t>
      </w:r>
      <w:r w:rsidR="00142937" w:rsidRPr="000274FE">
        <w:rPr>
          <w:rFonts w:cstheme="minorHAnsi"/>
          <w:color w:val="000000"/>
          <w:sz w:val="24"/>
          <w:szCs w:val="24"/>
          <w:shd w:val="clear" w:color="auto" w:fill="FFFFFF"/>
        </w:rPr>
        <w:t xml:space="preserve"> further.</w:t>
      </w:r>
      <w:r w:rsidR="0021272E" w:rsidRPr="000274FE">
        <w:rPr>
          <w:rFonts w:cstheme="minorHAnsi"/>
          <w:color w:val="000000"/>
          <w:sz w:val="24"/>
          <w:szCs w:val="24"/>
          <w:shd w:val="clear" w:color="auto" w:fill="FFFFFF"/>
        </w:rPr>
        <w:t xml:space="preserve"> </w:t>
      </w:r>
      <w:r w:rsidR="00142937" w:rsidRPr="000274FE">
        <w:rPr>
          <w:rFonts w:cstheme="minorHAnsi"/>
          <w:color w:val="000000"/>
          <w:sz w:val="24"/>
          <w:szCs w:val="24"/>
          <w:shd w:val="clear" w:color="auto" w:fill="FFFFFF"/>
        </w:rPr>
        <w:t xml:space="preserve"> However, the Practice will keep a record of the reasons for </w:t>
      </w:r>
      <w:r w:rsidRPr="000274FE">
        <w:rPr>
          <w:rFonts w:cstheme="minorHAnsi"/>
          <w:color w:val="000000"/>
          <w:sz w:val="24"/>
          <w:szCs w:val="24"/>
          <w:shd w:val="clear" w:color="auto" w:fill="FFFFFF"/>
        </w:rPr>
        <w:t>refusal</w:t>
      </w:r>
      <w:r w:rsidR="00142937" w:rsidRPr="000274FE">
        <w:rPr>
          <w:rFonts w:cstheme="minorHAnsi"/>
          <w:color w:val="000000"/>
          <w:sz w:val="24"/>
          <w:szCs w:val="24"/>
          <w:shd w:val="clear" w:color="auto" w:fill="FFFFFF"/>
        </w:rPr>
        <w:t xml:space="preserve"> decision</w:t>
      </w:r>
      <w:r w:rsidRPr="000274FE">
        <w:rPr>
          <w:rFonts w:cstheme="minorHAnsi"/>
          <w:color w:val="000000"/>
          <w:sz w:val="24"/>
          <w:szCs w:val="24"/>
          <w:shd w:val="clear" w:color="auto" w:fill="FFFFFF"/>
        </w:rPr>
        <w:t>s</w:t>
      </w:r>
      <w:r w:rsidR="00142937" w:rsidRPr="000274FE">
        <w:rPr>
          <w:rFonts w:cstheme="minorHAnsi"/>
          <w:color w:val="000000"/>
          <w:sz w:val="24"/>
          <w:szCs w:val="24"/>
          <w:shd w:val="clear" w:color="auto" w:fill="FFFFFF"/>
        </w:rPr>
        <w:t xml:space="preserve"> so </w:t>
      </w:r>
      <w:r w:rsidRPr="000274FE">
        <w:rPr>
          <w:rFonts w:cstheme="minorHAnsi"/>
          <w:color w:val="000000"/>
          <w:sz w:val="24"/>
          <w:szCs w:val="24"/>
          <w:shd w:val="clear" w:color="auto" w:fill="FFFFFF"/>
        </w:rPr>
        <w:t>they</w:t>
      </w:r>
      <w:r w:rsidR="00142937" w:rsidRPr="000274FE">
        <w:rPr>
          <w:rFonts w:cstheme="minorHAnsi"/>
          <w:color w:val="000000"/>
          <w:sz w:val="24"/>
          <w:szCs w:val="24"/>
          <w:shd w:val="clear" w:color="auto" w:fill="FFFFFF"/>
        </w:rPr>
        <w:t xml:space="preserve"> can be justified to the Information Commissioner’s Office if a complaint is made.</w:t>
      </w:r>
    </w:p>
    <w:p w14:paraId="3885B8B3" w14:textId="4CEB9999" w:rsidR="00142937" w:rsidRPr="000274FE" w:rsidRDefault="00142937" w:rsidP="00142937">
      <w:pPr>
        <w:pStyle w:val="Heading2"/>
        <w:rPr>
          <w:rFonts w:cstheme="minorHAnsi"/>
          <w:sz w:val="24"/>
          <w:szCs w:val="24"/>
        </w:rPr>
      </w:pPr>
      <w:r w:rsidRPr="000274FE">
        <w:rPr>
          <w:rFonts w:cstheme="minorHAnsi"/>
          <w:color w:val="000000"/>
          <w:sz w:val="24"/>
          <w:szCs w:val="24"/>
          <w:shd w:val="clear" w:color="auto" w:fill="FFFFFF"/>
        </w:rPr>
        <w:t xml:space="preserve">If vexatious or repeated requests </w:t>
      </w:r>
      <w:r w:rsidR="00444BC6" w:rsidRPr="000274FE">
        <w:rPr>
          <w:rFonts w:cstheme="minorHAnsi"/>
          <w:color w:val="000000"/>
          <w:sz w:val="24"/>
          <w:szCs w:val="24"/>
          <w:shd w:val="clear" w:color="auto" w:fill="FFFFFF"/>
        </w:rPr>
        <w:t xml:space="preserve">are received </w:t>
      </w:r>
      <w:r w:rsidRPr="000274FE">
        <w:rPr>
          <w:rFonts w:cstheme="minorHAnsi"/>
          <w:color w:val="000000"/>
          <w:sz w:val="24"/>
          <w:szCs w:val="24"/>
          <w:shd w:val="clear" w:color="auto" w:fill="FFFFFF"/>
        </w:rPr>
        <w:t xml:space="preserve">from the same person, the Practice can send a single refusal notice to the applicant, stating that their requests </w:t>
      </w:r>
      <w:r w:rsidR="00444BC6" w:rsidRPr="000274FE">
        <w:rPr>
          <w:rFonts w:cstheme="minorHAnsi"/>
          <w:color w:val="000000"/>
          <w:sz w:val="24"/>
          <w:szCs w:val="24"/>
          <w:shd w:val="clear" w:color="auto" w:fill="FFFFFF"/>
        </w:rPr>
        <w:t xml:space="preserve">have been found </w:t>
      </w:r>
      <w:r w:rsidRPr="000274FE">
        <w:rPr>
          <w:rFonts w:cstheme="minorHAnsi"/>
          <w:color w:val="000000"/>
          <w:sz w:val="24"/>
          <w:szCs w:val="24"/>
          <w:shd w:val="clear" w:color="auto" w:fill="FFFFFF"/>
        </w:rPr>
        <w:t xml:space="preserve">to be vexatious or repeated (as appropriate) and that a written refusal </w:t>
      </w:r>
      <w:r w:rsidR="0021272E" w:rsidRPr="000274FE">
        <w:rPr>
          <w:rFonts w:cstheme="minorHAnsi"/>
          <w:color w:val="000000"/>
          <w:sz w:val="24"/>
          <w:szCs w:val="24"/>
          <w:shd w:val="clear" w:color="auto" w:fill="FFFFFF"/>
        </w:rPr>
        <w:t xml:space="preserve">will not be sent </w:t>
      </w:r>
      <w:r w:rsidRPr="000274FE">
        <w:rPr>
          <w:rFonts w:cstheme="minorHAnsi"/>
          <w:color w:val="000000"/>
          <w:sz w:val="24"/>
          <w:szCs w:val="24"/>
          <w:shd w:val="clear" w:color="auto" w:fill="FFFFFF"/>
        </w:rPr>
        <w:t>in response to any further vexatious or repeated requests.</w:t>
      </w:r>
    </w:p>
    <w:p w14:paraId="7D0B8982" w14:textId="18FFE0C5" w:rsidR="00142937" w:rsidRPr="000274FE" w:rsidRDefault="00142937" w:rsidP="00142937">
      <w:pPr>
        <w:pStyle w:val="Heading2"/>
        <w:rPr>
          <w:rFonts w:cstheme="minorHAnsi"/>
          <w:sz w:val="24"/>
          <w:szCs w:val="24"/>
        </w:rPr>
      </w:pPr>
      <w:r w:rsidRPr="000274FE">
        <w:rPr>
          <w:rFonts w:cstheme="minorHAnsi"/>
          <w:color w:val="000000"/>
          <w:sz w:val="24"/>
          <w:szCs w:val="24"/>
          <w:shd w:val="clear" w:color="auto" w:fill="FFFFFF"/>
        </w:rPr>
        <w:t>This does not mean all future requests from this person</w:t>
      </w:r>
      <w:r w:rsidR="0021272E" w:rsidRPr="000274FE">
        <w:rPr>
          <w:rFonts w:cstheme="minorHAnsi"/>
          <w:color w:val="000000"/>
          <w:sz w:val="24"/>
          <w:szCs w:val="24"/>
          <w:shd w:val="clear" w:color="auto" w:fill="FFFFFF"/>
        </w:rPr>
        <w:t xml:space="preserve"> can be ignored</w:t>
      </w:r>
      <w:r w:rsidRPr="000274FE">
        <w:rPr>
          <w:rFonts w:cstheme="minorHAnsi"/>
          <w:color w:val="000000"/>
          <w:sz w:val="24"/>
          <w:szCs w:val="24"/>
          <w:shd w:val="clear" w:color="auto" w:fill="FFFFFF"/>
        </w:rPr>
        <w:t>.</w:t>
      </w:r>
      <w:r w:rsidR="0021272E"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 For example, a future request could be about a completely different </w:t>
      </w:r>
      <w:proofErr w:type="gramStart"/>
      <w:r w:rsidRPr="000274FE">
        <w:rPr>
          <w:rFonts w:cstheme="minorHAnsi"/>
          <w:color w:val="000000"/>
          <w:sz w:val="24"/>
          <w:szCs w:val="24"/>
          <w:shd w:val="clear" w:color="auto" w:fill="FFFFFF"/>
        </w:rPr>
        <w:t>topic, or</w:t>
      </w:r>
      <w:proofErr w:type="gramEnd"/>
      <w:r w:rsidRPr="000274FE">
        <w:rPr>
          <w:rFonts w:cstheme="minorHAnsi"/>
          <w:color w:val="000000"/>
          <w:sz w:val="24"/>
          <w:szCs w:val="24"/>
          <w:shd w:val="clear" w:color="auto" w:fill="FFFFFF"/>
        </w:rPr>
        <w:t xml:space="preserve"> have a valid purpose.</w:t>
      </w:r>
      <w:r w:rsidR="0021272E"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 The Practice will consider whether the request is vexatious or repeated in each case.</w:t>
      </w:r>
    </w:p>
    <w:p w14:paraId="3EA7424D" w14:textId="77777777" w:rsidR="00142937" w:rsidRPr="000274FE" w:rsidRDefault="00142937" w:rsidP="00273668">
      <w:pPr>
        <w:pStyle w:val="Heading1"/>
      </w:pPr>
      <w:r w:rsidRPr="000274FE">
        <w:t>EXEMPTIONS</w:t>
      </w:r>
    </w:p>
    <w:p w14:paraId="31A76A67" w14:textId="77777777" w:rsidR="00142937" w:rsidRPr="000274FE" w:rsidRDefault="00142937" w:rsidP="005422D2">
      <w:pPr>
        <w:pStyle w:val="Heading2"/>
        <w:rPr>
          <w:sz w:val="24"/>
          <w:szCs w:val="24"/>
        </w:rPr>
      </w:pPr>
      <w:r w:rsidRPr="000274FE">
        <w:rPr>
          <w:sz w:val="24"/>
          <w:szCs w:val="24"/>
          <w:shd w:val="clear" w:color="auto" w:fill="FFFFFF"/>
        </w:rPr>
        <w:t xml:space="preserve">Exemptions exist to protect information that should not be disclosed, for example because </w:t>
      </w:r>
      <w:r w:rsidRPr="000274FE">
        <w:rPr>
          <w:sz w:val="24"/>
          <w:szCs w:val="24"/>
        </w:rPr>
        <w:t>disclosing it would be harmful to another person or it would be against the public interest.</w:t>
      </w:r>
    </w:p>
    <w:p w14:paraId="7EA9B081" w14:textId="4CB7B421" w:rsidR="00142937" w:rsidRPr="000274FE" w:rsidRDefault="00142937" w:rsidP="005422D2">
      <w:pPr>
        <w:pStyle w:val="Heading2"/>
        <w:rPr>
          <w:sz w:val="24"/>
          <w:szCs w:val="24"/>
        </w:rPr>
      </w:pPr>
      <w:r w:rsidRPr="000274FE">
        <w:rPr>
          <w:sz w:val="24"/>
          <w:szCs w:val="24"/>
        </w:rPr>
        <w:t>Exemptions do not have to be used where they apply however, in choosing to release information that may be exempt,</w:t>
      </w:r>
      <w:r w:rsidR="0021272E" w:rsidRPr="000274FE">
        <w:rPr>
          <w:sz w:val="24"/>
          <w:szCs w:val="24"/>
        </w:rPr>
        <w:t xml:space="preserve"> the Practice must ensure that it does not disclose information</w:t>
      </w:r>
      <w:r w:rsidRPr="000274FE">
        <w:rPr>
          <w:sz w:val="24"/>
          <w:szCs w:val="24"/>
        </w:rPr>
        <w:t xml:space="preserve"> breach of some other law, such as disclosing personal information in contravention of the UK GDPR or the DPA 2018. </w:t>
      </w:r>
      <w:r w:rsidR="0021272E" w:rsidRPr="000274FE">
        <w:rPr>
          <w:sz w:val="24"/>
          <w:szCs w:val="24"/>
        </w:rPr>
        <w:t xml:space="preserve"> The Practice does not h</w:t>
      </w:r>
      <w:r w:rsidRPr="000274FE">
        <w:rPr>
          <w:sz w:val="24"/>
          <w:szCs w:val="24"/>
        </w:rPr>
        <w:t xml:space="preserve">ave to identify all the exemptions that may apply to the same information, if </w:t>
      </w:r>
      <w:r w:rsidR="0021272E" w:rsidRPr="000274FE">
        <w:rPr>
          <w:sz w:val="24"/>
          <w:szCs w:val="24"/>
        </w:rPr>
        <w:t>there is certainty that</w:t>
      </w:r>
      <w:r w:rsidRPr="000274FE">
        <w:rPr>
          <w:sz w:val="24"/>
          <w:szCs w:val="24"/>
        </w:rPr>
        <w:t xml:space="preserve"> one applies.</w:t>
      </w:r>
    </w:p>
    <w:p w14:paraId="4EE542D1" w14:textId="4236F4BF" w:rsidR="00142937" w:rsidRPr="000274FE" w:rsidRDefault="00142937" w:rsidP="005422D2">
      <w:pPr>
        <w:pStyle w:val="Heading2"/>
        <w:rPr>
          <w:sz w:val="24"/>
          <w:szCs w:val="24"/>
        </w:rPr>
      </w:pPr>
      <w:r w:rsidRPr="000274FE">
        <w:rPr>
          <w:sz w:val="24"/>
          <w:szCs w:val="24"/>
        </w:rPr>
        <w:t>The Practice can automatically withhold information because an exemption applies only if the exemption is ‘absolute’.</w:t>
      </w:r>
      <w:r w:rsidR="0021272E" w:rsidRPr="000274FE">
        <w:rPr>
          <w:sz w:val="24"/>
          <w:szCs w:val="24"/>
        </w:rPr>
        <w:t xml:space="preserve"> </w:t>
      </w:r>
      <w:r w:rsidRPr="000274FE">
        <w:rPr>
          <w:sz w:val="24"/>
          <w:szCs w:val="24"/>
        </w:rPr>
        <w:t xml:space="preserve"> However, most exemptions are not absolute but are </w:t>
      </w:r>
      <w:r w:rsidRPr="000274FE">
        <w:rPr>
          <w:sz w:val="24"/>
          <w:szCs w:val="24"/>
        </w:rPr>
        <w:lastRenderedPageBreak/>
        <w:t>‘qualified’.</w:t>
      </w:r>
      <w:r w:rsidR="0021272E" w:rsidRPr="000274FE">
        <w:rPr>
          <w:sz w:val="24"/>
          <w:szCs w:val="24"/>
        </w:rPr>
        <w:t xml:space="preserve"> </w:t>
      </w:r>
      <w:r w:rsidRPr="000274FE">
        <w:rPr>
          <w:sz w:val="24"/>
          <w:szCs w:val="24"/>
        </w:rPr>
        <w:t xml:space="preserve"> This means that before deciding whether to withhold information under an exemption, the public interest arguments</w:t>
      </w:r>
      <w:r w:rsidR="0021272E" w:rsidRPr="000274FE">
        <w:rPr>
          <w:sz w:val="24"/>
          <w:szCs w:val="24"/>
        </w:rPr>
        <w:t xml:space="preserve"> must be considered</w:t>
      </w:r>
      <w:r w:rsidRPr="000274FE">
        <w:rPr>
          <w:sz w:val="24"/>
          <w:szCs w:val="24"/>
        </w:rPr>
        <w:t>.</w:t>
      </w:r>
    </w:p>
    <w:p w14:paraId="4C4132CD" w14:textId="11282BE9" w:rsidR="00142937" w:rsidRPr="000274FE" w:rsidRDefault="00142937" w:rsidP="005422D2">
      <w:pPr>
        <w:pStyle w:val="Heading2"/>
        <w:rPr>
          <w:sz w:val="24"/>
          <w:szCs w:val="24"/>
        </w:rPr>
      </w:pPr>
      <w:r w:rsidRPr="000274FE">
        <w:rPr>
          <w:sz w:val="24"/>
          <w:szCs w:val="24"/>
        </w:rPr>
        <w:t xml:space="preserve">In some cases, even confirming that information is or is not held may be sensitive. </w:t>
      </w:r>
      <w:r w:rsidR="0021272E" w:rsidRPr="000274FE">
        <w:rPr>
          <w:sz w:val="24"/>
          <w:szCs w:val="24"/>
        </w:rPr>
        <w:t xml:space="preserve"> </w:t>
      </w:r>
      <w:r w:rsidRPr="000274FE">
        <w:rPr>
          <w:sz w:val="24"/>
          <w:szCs w:val="24"/>
        </w:rPr>
        <w:t xml:space="preserve">In these cases, </w:t>
      </w:r>
      <w:r w:rsidR="0021272E" w:rsidRPr="000274FE">
        <w:rPr>
          <w:sz w:val="24"/>
          <w:szCs w:val="24"/>
        </w:rPr>
        <w:t>it may be possible to provide</w:t>
      </w:r>
      <w:r w:rsidRPr="000274FE">
        <w:rPr>
          <w:sz w:val="24"/>
          <w:szCs w:val="24"/>
        </w:rPr>
        <w:t xml:space="preserve"> a ‘neither confirm nor deny’ (NCND) response. </w:t>
      </w:r>
      <w:r w:rsidR="0021272E" w:rsidRPr="000274FE">
        <w:rPr>
          <w:sz w:val="24"/>
          <w:szCs w:val="24"/>
        </w:rPr>
        <w:t xml:space="preserve"> </w:t>
      </w:r>
      <w:r w:rsidRPr="000274FE">
        <w:rPr>
          <w:sz w:val="24"/>
          <w:szCs w:val="24"/>
        </w:rPr>
        <w:t xml:space="preserve">Whether a NCND response </w:t>
      </w:r>
      <w:r w:rsidR="0021272E" w:rsidRPr="000274FE">
        <w:rPr>
          <w:sz w:val="24"/>
          <w:szCs w:val="24"/>
        </w:rPr>
        <w:t xml:space="preserve">is provided </w:t>
      </w:r>
      <w:r w:rsidRPr="000274FE">
        <w:rPr>
          <w:sz w:val="24"/>
          <w:szCs w:val="24"/>
        </w:rPr>
        <w:t>should usually depend on how the request is worded, not on whether the information</w:t>
      </w:r>
      <w:r w:rsidR="0021272E" w:rsidRPr="000274FE">
        <w:rPr>
          <w:sz w:val="24"/>
          <w:szCs w:val="24"/>
        </w:rPr>
        <w:t xml:space="preserve"> is held</w:t>
      </w:r>
      <w:r w:rsidRPr="000274FE">
        <w:rPr>
          <w:sz w:val="24"/>
          <w:szCs w:val="24"/>
        </w:rPr>
        <w:t>.</w:t>
      </w:r>
      <w:r w:rsidR="0021272E" w:rsidRPr="000274FE">
        <w:rPr>
          <w:sz w:val="24"/>
          <w:szCs w:val="24"/>
        </w:rPr>
        <w:t xml:space="preserve"> </w:t>
      </w:r>
      <w:r w:rsidRPr="000274FE">
        <w:rPr>
          <w:sz w:val="24"/>
          <w:szCs w:val="24"/>
        </w:rPr>
        <w:t xml:space="preserve"> The Practice will apply the NCND response consistently, in any case where either confirming or denying could be harmful.</w:t>
      </w:r>
    </w:p>
    <w:p w14:paraId="7C46CB5E" w14:textId="4D295253" w:rsidR="00142937" w:rsidRPr="000274FE" w:rsidRDefault="00142937" w:rsidP="005422D2">
      <w:pPr>
        <w:pStyle w:val="Heading2"/>
        <w:rPr>
          <w:sz w:val="24"/>
          <w:szCs w:val="24"/>
        </w:rPr>
      </w:pPr>
      <w:r w:rsidRPr="000274FE">
        <w:rPr>
          <w:sz w:val="24"/>
          <w:szCs w:val="24"/>
        </w:rPr>
        <w:t xml:space="preserve">Some exemptions apply only to a particular category or class of information, such as information held for criminal investigations or relating to correspondence with the royal family. </w:t>
      </w:r>
      <w:r w:rsidR="0021272E" w:rsidRPr="000274FE">
        <w:rPr>
          <w:sz w:val="24"/>
          <w:szCs w:val="24"/>
        </w:rPr>
        <w:t xml:space="preserve"> </w:t>
      </w:r>
      <w:r w:rsidRPr="000274FE">
        <w:rPr>
          <w:sz w:val="24"/>
          <w:szCs w:val="24"/>
        </w:rPr>
        <w:t>These are called class-based exemptions.</w:t>
      </w:r>
    </w:p>
    <w:p w14:paraId="42F4E0BD" w14:textId="45481B56" w:rsidR="00142937" w:rsidRPr="000274FE" w:rsidRDefault="00142937" w:rsidP="005422D2">
      <w:pPr>
        <w:pStyle w:val="Heading2"/>
        <w:rPr>
          <w:sz w:val="24"/>
          <w:szCs w:val="24"/>
        </w:rPr>
      </w:pPr>
      <w:r w:rsidRPr="000274FE">
        <w:rPr>
          <w:sz w:val="24"/>
          <w:szCs w:val="24"/>
        </w:rPr>
        <w:t xml:space="preserve">Some exemptions require the Practice to judge whether disclosure may cause a specific type of harm, for instance, endangering health and safety, prejudicing law enforcement, or prejudicing someone’s commercial interests. </w:t>
      </w:r>
      <w:r w:rsidR="0021272E" w:rsidRPr="000274FE">
        <w:rPr>
          <w:sz w:val="24"/>
          <w:szCs w:val="24"/>
        </w:rPr>
        <w:t xml:space="preserve"> </w:t>
      </w:r>
      <w:r w:rsidRPr="000274FE">
        <w:rPr>
          <w:sz w:val="24"/>
          <w:szCs w:val="24"/>
        </w:rPr>
        <w:t>These are called prejudice-based exemptions.</w:t>
      </w:r>
    </w:p>
    <w:p w14:paraId="475E9BC9" w14:textId="29D505E0" w:rsidR="00142937" w:rsidRPr="000274FE" w:rsidRDefault="00142937" w:rsidP="005422D2">
      <w:pPr>
        <w:pStyle w:val="Heading2"/>
        <w:rPr>
          <w:sz w:val="24"/>
          <w:szCs w:val="24"/>
        </w:rPr>
      </w:pPr>
      <w:r w:rsidRPr="000274FE">
        <w:rPr>
          <w:sz w:val="24"/>
          <w:szCs w:val="24"/>
        </w:rPr>
        <w:t xml:space="preserve">The Act also often refers to other legislation or common law principles, such as confidentiality, legal professional privilege, or data protection. </w:t>
      </w:r>
      <w:r w:rsidR="0021272E" w:rsidRPr="000274FE">
        <w:rPr>
          <w:sz w:val="24"/>
          <w:szCs w:val="24"/>
        </w:rPr>
        <w:t xml:space="preserve"> </w:t>
      </w:r>
      <w:r w:rsidRPr="000274FE">
        <w:rPr>
          <w:sz w:val="24"/>
          <w:szCs w:val="24"/>
        </w:rPr>
        <w:t>In many cases, the Practice may need to apply some kind of legal ‘test’ - it is not as straightforward as identifying that information fits a specific description.</w:t>
      </w:r>
      <w:r w:rsidR="0021272E" w:rsidRPr="000274FE">
        <w:rPr>
          <w:sz w:val="24"/>
          <w:szCs w:val="24"/>
        </w:rPr>
        <w:t xml:space="preserve"> </w:t>
      </w:r>
      <w:r w:rsidRPr="000274FE">
        <w:rPr>
          <w:sz w:val="24"/>
          <w:szCs w:val="24"/>
        </w:rPr>
        <w:t xml:space="preserve"> It is important to read the full wording of any exemption, and</w:t>
      </w:r>
      <w:r w:rsidR="0021272E" w:rsidRPr="000274FE">
        <w:rPr>
          <w:sz w:val="24"/>
          <w:szCs w:val="24"/>
        </w:rPr>
        <w:t>,</w:t>
      </w:r>
      <w:r w:rsidRPr="000274FE">
        <w:rPr>
          <w:sz w:val="24"/>
          <w:szCs w:val="24"/>
        </w:rPr>
        <w:t xml:space="preserve"> if necessary</w:t>
      </w:r>
      <w:r w:rsidR="0021272E" w:rsidRPr="000274FE">
        <w:rPr>
          <w:sz w:val="24"/>
          <w:szCs w:val="24"/>
        </w:rPr>
        <w:t>,</w:t>
      </w:r>
      <w:r w:rsidRPr="000274FE">
        <w:rPr>
          <w:sz w:val="24"/>
          <w:szCs w:val="24"/>
        </w:rPr>
        <w:t xml:space="preserve"> consult the ICO guidance before trying to rely on it.</w:t>
      </w:r>
    </w:p>
    <w:p w14:paraId="138B41CB" w14:textId="749571E1" w:rsidR="00142937" w:rsidRPr="000274FE" w:rsidRDefault="00142937" w:rsidP="005422D2">
      <w:pPr>
        <w:pStyle w:val="Heading2"/>
        <w:rPr>
          <w:sz w:val="24"/>
          <w:szCs w:val="24"/>
        </w:rPr>
      </w:pPr>
      <w:r w:rsidRPr="000274FE">
        <w:rPr>
          <w:sz w:val="24"/>
          <w:szCs w:val="24"/>
        </w:rPr>
        <w:t xml:space="preserve">For the purposes of the Act, ‘prejudice’ means causing harm in some way. </w:t>
      </w:r>
      <w:r w:rsidR="0021272E" w:rsidRPr="000274FE">
        <w:rPr>
          <w:sz w:val="24"/>
          <w:szCs w:val="24"/>
        </w:rPr>
        <w:t xml:space="preserve"> </w:t>
      </w:r>
      <w:r w:rsidRPr="000274FE">
        <w:rPr>
          <w:sz w:val="24"/>
          <w:szCs w:val="24"/>
        </w:rPr>
        <w:t xml:space="preserve">Many of the exemptions listed below apply if disclosing the information </w:t>
      </w:r>
      <w:r w:rsidR="0021272E" w:rsidRPr="000274FE">
        <w:rPr>
          <w:sz w:val="24"/>
          <w:szCs w:val="24"/>
        </w:rPr>
        <w:t>held</w:t>
      </w:r>
      <w:r w:rsidRPr="000274FE">
        <w:rPr>
          <w:sz w:val="24"/>
          <w:szCs w:val="24"/>
        </w:rPr>
        <w:t xml:space="preserve"> would harm the interests covered by the exemption. </w:t>
      </w:r>
      <w:r w:rsidR="0021272E" w:rsidRPr="000274FE">
        <w:rPr>
          <w:sz w:val="24"/>
          <w:szCs w:val="24"/>
        </w:rPr>
        <w:t xml:space="preserve"> </w:t>
      </w:r>
      <w:r w:rsidRPr="000274FE">
        <w:rPr>
          <w:sz w:val="24"/>
          <w:szCs w:val="24"/>
        </w:rPr>
        <w:t xml:space="preserve">In the same way, confirming or denying whether </w:t>
      </w:r>
      <w:r w:rsidR="0021272E" w:rsidRPr="000274FE">
        <w:rPr>
          <w:sz w:val="24"/>
          <w:szCs w:val="24"/>
        </w:rPr>
        <w:t>the Practice has</w:t>
      </w:r>
      <w:r w:rsidRPr="000274FE">
        <w:rPr>
          <w:sz w:val="24"/>
          <w:szCs w:val="24"/>
        </w:rPr>
        <w:t xml:space="preserve"> the information can also cause prejudice. </w:t>
      </w:r>
      <w:r w:rsidR="0021272E" w:rsidRPr="000274FE">
        <w:rPr>
          <w:sz w:val="24"/>
          <w:szCs w:val="24"/>
        </w:rPr>
        <w:t xml:space="preserve"> </w:t>
      </w:r>
      <w:r w:rsidRPr="000274FE">
        <w:rPr>
          <w:sz w:val="24"/>
          <w:szCs w:val="24"/>
        </w:rPr>
        <w:t>Deciding whether disclosure would cause prejudice is called the prejudice test.</w:t>
      </w:r>
    </w:p>
    <w:p w14:paraId="6067BF11" w14:textId="77777777" w:rsidR="00142937" w:rsidRPr="000274FE" w:rsidRDefault="00142937" w:rsidP="005422D2">
      <w:pPr>
        <w:pStyle w:val="Heading2"/>
        <w:rPr>
          <w:sz w:val="24"/>
          <w:szCs w:val="24"/>
        </w:rPr>
      </w:pPr>
      <w:r w:rsidRPr="000274FE">
        <w:rPr>
          <w:sz w:val="24"/>
          <w:szCs w:val="24"/>
        </w:rPr>
        <w:t>To decide whether disclosure (or confirmation/denial) would cause prejudice:</w:t>
      </w:r>
    </w:p>
    <w:p w14:paraId="0719E378" w14:textId="1707C406" w:rsidR="00142937" w:rsidRPr="000274FE" w:rsidRDefault="0021272E" w:rsidP="005422D2">
      <w:pPr>
        <w:pStyle w:val="ListBullet3"/>
        <w:rPr>
          <w:sz w:val="24"/>
          <w:szCs w:val="24"/>
        </w:rPr>
      </w:pPr>
      <w:r w:rsidRPr="000274FE">
        <w:rPr>
          <w:sz w:val="24"/>
          <w:szCs w:val="24"/>
        </w:rPr>
        <w:t>t</w:t>
      </w:r>
      <w:r w:rsidR="00142937" w:rsidRPr="000274FE">
        <w:rPr>
          <w:sz w:val="24"/>
          <w:szCs w:val="24"/>
        </w:rPr>
        <w:t>he Practice must be able to identify a negative consequence of the disclosure (or confirmation/denial), and this negative consequence must be significant (more than trivial</w:t>
      </w:r>
      <w:proofErr w:type="gramStart"/>
      <w:r w:rsidR="00142937" w:rsidRPr="000274FE">
        <w:rPr>
          <w:sz w:val="24"/>
          <w:szCs w:val="24"/>
        </w:rPr>
        <w:t>);</w:t>
      </w:r>
      <w:proofErr w:type="gramEnd"/>
    </w:p>
    <w:p w14:paraId="0738227A" w14:textId="7FF59F12" w:rsidR="00142937" w:rsidRPr="000274FE" w:rsidRDefault="0021272E" w:rsidP="005422D2">
      <w:pPr>
        <w:pStyle w:val="ListBullet3"/>
        <w:rPr>
          <w:sz w:val="24"/>
          <w:szCs w:val="24"/>
        </w:rPr>
      </w:pPr>
      <w:r w:rsidRPr="000274FE">
        <w:rPr>
          <w:sz w:val="24"/>
          <w:szCs w:val="24"/>
        </w:rPr>
        <w:t>t</w:t>
      </w:r>
      <w:r w:rsidR="00142937" w:rsidRPr="000274FE">
        <w:rPr>
          <w:sz w:val="24"/>
          <w:szCs w:val="24"/>
        </w:rPr>
        <w:t>he Practice must show a link between the disclosure (or confirmation/denial) and the negative consequences, showing how one would cause the other; and</w:t>
      </w:r>
    </w:p>
    <w:p w14:paraId="0F8F586C" w14:textId="0175A096" w:rsidR="00142937" w:rsidRPr="000274FE" w:rsidRDefault="0021272E" w:rsidP="005422D2">
      <w:pPr>
        <w:pStyle w:val="ListBullet3"/>
        <w:rPr>
          <w:sz w:val="24"/>
          <w:szCs w:val="24"/>
        </w:rPr>
      </w:pPr>
      <w:r w:rsidRPr="000274FE">
        <w:rPr>
          <w:sz w:val="24"/>
          <w:szCs w:val="24"/>
        </w:rPr>
        <w:t>t</w:t>
      </w:r>
      <w:r w:rsidR="00142937" w:rsidRPr="000274FE">
        <w:rPr>
          <w:sz w:val="24"/>
          <w:szCs w:val="24"/>
        </w:rPr>
        <w:t>here must be at least a real possibility of the negative consequences happening, even if you can</w:t>
      </w:r>
      <w:r w:rsidR="00F430D5" w:rsidRPr="000274FE">
        <w:rPr>
          <w:sz w:val="24"/>
          <w:szCs w:val="24"/>
        </w:rPr>
        <w:t>’</w:t>
      </w:r>
      <w:r w:rsidR="00142937" w:rsidRPr="000274FE">
        <w:rPr>
          <w:sz w:val="24"/>
          <w:szCs w:val="24"/>
        </w:rPr>
        <w:t>t say it is more likely than not</w:t>
      </w:r>
      <w:r w:rsidR="000274FE">
        <w:rPr>
          <w:sz w:val="24"/>
          <w:szCs w:val="24"/>
        </w:rPr>
        <w:t>.</w:t>
      </w:r>
    </w:p>
    <w:p w14:paraId="093FE042" w14:textId="77777777" w:rsidR="00142937" w:rsidRPr="000274FE" w:rsidRDefault="00142937" w:rsidP="0021272E">
      <w:pPr>
        <w:pStyle w:val="Heading2"/>
        <w:numPr>
          <w:ilvl w:val="0"/>
          <w:numId w:val="0"/>
        </w:numPr>
        <w:ind w:left="720"/>
        <w:rPr>
          <w:rFonts w:cstheme="minorHAnsi"/>
          <w:sz w:val="24"/>
          <w:szCs w:val="24"/>
        </w:rPr>
      </w:pPr>
      <w:r w:rsidRPr="000274FE">
        <w:rPr>
          <w:rFonts w:cstheme="minorHAnsi"/>
          <w:sz w:val="24"/>
          <w:szCs w:val="24"/>
        </w:rPr>
        <w:t xml:space="preserve">More information on the prejudice test can be obtained from the </w:t>
      </w:r>
      <w:hyperlink r:id="rId34" w:history="1">
        <w:r w:rsidRPr="000274FE">
          <w:rPr>
            <w:rStyle w:val="Hyperlink"/>
            <w:rFonts w:cstheme="minorHAnsi"/>
            <w:sz w:val="24"/>
            <w:szCs w:val="24"/>
          </w:rPr>
          <w:t>ICO</w:t>
        </w:r>
      </w:hyperlink>
      <w:r w:rsidRPr="000274FE">
        <w:rPr>
          <w:rFonts w:cstheme="minorHAnsi"/>
          <w:sz w:val="24"/>
          <w:szCs w:val="24"/>
        </w:rPr>
        <w:t>.</w:t>
      </w:r>
    </w:p>
    <w:p w14:paraId="728B0037" w14:textId="77777777" w:rsidR="00142937" w:rsidRPr="000274FE" w:rsidRDefault="00142937" w:rsidP="0021272E">
      <w:pPr>
        <w:pStyle w:val="Section"/>
        <w:ind w:firstLine="720"/>
        <w:rPr>
          <w:sz w:val="24"/>
        </w:rPr>
      </w:pPr>
      <w:r w:rsidRPr="000274FE">
        <w:rPr>
          <w:sz w:val="24"/>
        </w:rPr>
        <w:t>SECTION 21 – INFORMATION ALREADY REASONABLY ACCESSIBLE</w:t>
      </w:r>
    </w:p>
    <w:p w14:paraId="59943FAE" w14:textId="2D2BD95B" w:rsidR="00142937" w:rsidRPr="000274FE" w:rsidRDefault="00142937" w:rsidP="00142937">
      <w:pPr>
        <w:pStyle w:val="Heading2"/>
        <w:rPr>
          <w:rFonts w:cstheme="minorHAnsi"/>
          <w:sz w:val="24"/>
          <w:szCs w:val="24"/>
          <w:shd w:val="clear" w:color="auto" w:fill="FFFFFF"/>
        </w:rPr>
      </w:pPr>
      <w:r w:rsidRPr="000274FE">
        <w:rPr>
          <w:rFonts w:cstheme="minorHAnsi"/>
          <w:sz w:val="24"/>
          <w:szCs w:val="24"/>
          <w:shd w:val="clear" w:color="auto" w:fill="FFFFFF"/>
        </w:rPr>
        <w:t xml:space="preserve">This exemption applies if the information requested is already accessible to the requester. </w:t>
      </w:r>
      <w:r w:rsidR="0021272E" w:rsidRPr="000274FE">
        <w:rPr>
          <w:rFonts w:cstheme="minorHAnsi"/>
          <w:sz w:val="24"/>
          <w:szCs w:val="24"/>
          <w:shd w:val="clear" w:color="auto" w:fill="FFFFFF"/>
        </w:rPr>
        <w:t xml:space="preserve"> </w:t>
      </w:r>
      <w:r w:rsidRPr="000274FE">
        <w:rPr>
          <w:rFonts w:cstheme="minorHAnsi"/>
          <w:sz w:val="24"/>
          <w:szCs w:val="24"/>
          <w:shd w:val="clear" w:color="auto" w:fill="FFFFFF"/>
        </w:rPr>
        <w:t xml:space="preserve">This could apply if </w:t>
      </w:r>
      <w:r w:rsidR="0021272E" w:rsidRPr="000274FE">
        <w:rPr>
          <w:rFonts w:cstheme="minorHAnsi"/>
          <w:sz w:val="24"/>
          <w:szCs w:val="24"/>
          <w:shd w:val="clear" w:color="auto" w:fill="FFFFFF"/>
        </w:rPr>
        <w:t>it is known</w:t>
      </w:r>
      <w:r w:rsidRPr="000274FE">
        <w:rPr>
          <w:rFonts w:cstheme="minorHAnsi"/>
          <w:sz w:val="24"/>
          <w:szCs w:val="24"/>
          <w:shd w:val="clear" w:color="auto" w:fill="FFFFFF"/>
        </w:rPr>
        <w:t xml:space="preserve"> that the requester already has the information, or if it is already in the public domain. </w:t>
      </w:r>
      <w:r w:rsidR="0021272E" w:rsidRPr="000274FE">
        <w:rPr>
          <w:rFonts w:cstheme="minorHAnsi"/>
          <w:sz w:val="24"/>
          <w:szCs w:val="24"/>
          <w:shd w:val="clear" w:color="auto" w:fill="FFFFFF"/>
        </w:rPr>
        <w:t xml:space="preserve"> </w:t>
      </w:r>
      <w:r w:rsidRPr="000274FE">
        <w:rPr>
          <w:rFonts w:cstheme="minorHAnsi"/>
          <w:sz w:val="24"/>
          <w:szCs w:val="24"/>
          <w:shd w:val="clear" w:color="auto" w:fill="FFFFFF"/>
        </w:rPr>
        <w:t xml:space="preserve">For this exemption, the Practice will need to </w:t>
      </w:r>
      <w:proofErr w:type="gramStart"/>
      <w:r w:rsidRPr="000274FE">
        <w:rPr>
          <w:rFonts w:cstheme="minorHAnsi"/>
          <w:sz w:val="24"/>
          <w:szCs w:val="24"/>
          <w:shd w:val="clear" w:color="auto" w:fill="FFFFFF"/>
        </w:rPr>
        <w:t xml:space="preserve">take into </w:t>
      </w:r>
      <w:r w:rsidRPr="000274FE">
        <w:rPr>
          <w:rFonts w:cstheme="minorHAnsi"/>
          <w:sz w:val="24"/>
          <w:szCs w:val="24"/>
          <w:shd w:val="clear" w:color="auto" w:fill="FFFFFF"/>
        </w:rPr>
        <w:lastRenderedPageBreak/>
        <w:t>account</w:t>
      </w:r>
      <w:proofErr w:type="gramEnd"/>
      <w:r w:rsidRPr="000274FE">
        <w:rPr>
          <w:rFonts w:cstheme="minorHAnsi"/>
          <w:sz w:val="24"/>
          <w:szCs w:val="24"/>
          <w:shd w:val="clear" w:color="auto" w:fill="FFFFFF"/>
        </w:rPr>
        <w:t xml:space="preserve"> any information the requester gives about their circumstances. </w:t>
      </w:r>
      <w:r w:rsidR="0021272E" w:rsidRPr="000274FE">
        <w:rPr>
          <w:rFonts w:cstheme="minorHAnsi"/>
          <w:sz w:val="24"/>
          <w:szCs w:val="24"/>
          <w:shd w:val="clear" w:color="auto" w:fill="FFFFFF"/>
        </w:rPr>
        <w:t xml:space="preserve"> </w:t>
      </w:r>
      <w:r w:rsidRPr="000274FE">
        <w:rPr>
          <w:rFonts w:cstheme="minorHAnsi"/>
          <w:sz w:val="24"/>
          <w:szCs w:val="24"/>
          <w:shd w:val="clear" w:color="auto" w:fill="FFFFFF"/>
        </w:rPr>
        <w:t xml:space="preserve">For example, if information is available to view in a public library in Southampton, it may be reasonably accessible to a local resident but not to somebody living in Glasgow. </w:t>
      </w:r>
      <w:r w:rsidR="0021272E" w:rsidRPr="000274FE">
        <w:rPr>
          <w:rFonts w:cstheme="minorHAnsi"/>
          <w:sz w:val="24"/>
          <w:szCs w:val="24"/>
          <w:shd w:val="clear" w:color="auto" w:fill="FFFFFF"/>
        </w:rPr>
        <w:t xml:space="preserve"> </w:t>
      </w:r>
      <w:r w:rsidRPr="000274FE">
        <w:rPr>
          <w:rFonts w:cstheme="minorHAnsi"/>
          <w:sz w:val="24"/>
          <w:szCs w:val="24"/>
          <w:shd w:val="clear" w:color="auto" w:fill="FFFFFF"/>
        </w:rPr>
        <w:t>Similarly, an elderly or infirm requester may not have access to the internet at home and find it difficult to go to their local library, so information available only over the internet would not be reasonably accessible to them.</w:t>
      </w:r>
    </w:p>
    <w:p w14:paraId="275BE03C" w14:textId="50AF49B9" w:rsidR="00142937" w:rsidRPr="000274FE" w:rsidRDefault="00142937" w:rsidP="00142937">
      <w:pPr>
        <w:pStyle w:val="Heading2"/>
        <w:rPr>
          <w:rFonts w:cstheme="minorHAnsi"/>
          <w:sz w:val="24"/>
          <w:szCs w:val="24"/>
        </w:rPr>
      </w:pPr>
      <w:r w:rsidRPr="000274FE">
        <w:rPr>
          <w:rFonts w:cstheme="minorHAnsi"/>
          <w:sz w:val="24"/>
          <w:szCs w:val="24"/>
        </w:rPr>
        <w:t>W</w:t>
      </w:r>
      <w:r w:rsidRPr="000274FE">
        <w:rPr>
          <w:rFonts w:cstheme="minorHAnsi"/>
          <w:color w:val="000000"/>
          <w:sz w:val="24"/>
          <w:szCs w:val="24"/>
          <w:shd w:val="clear" w:color="auto" w:fill="FFFFFF"/>
        </w:rPr>
        <w:t xml:space="preserve">hen applying this exemption, </w:t>
      </w:r>
      <w:r w:rsidR="0021272E" w:rsidRPr="000274FE">
        <w:rPr>
          <w:rFonts w:cstheme="minorHAnsi"/>
          <w:color w:val="000000"/>
          <w:sz w:val="24"/>
          <w:szCs w:val="24"/>
          <w:shd w:val="clear" w:color="auto" w:fill="FFFFFF"/>
        </w:rPr>
        <w:t>the Practice has</w:t>
      </w:r>
      <w:r w:rsidRPr="000274FE">
        <w:rPr>
          <w:rFonts w:cstheme="minorHAnsi"/>
          <w:color w:val="000000"/>
          <w:sz w:val="24"/>
          <w:szCs w:val="24"/>
          <w:shd w:val="clear" w:color="auto" w:fill="FFFFFF"/>
        </w:rPr>
        <w:t xml:space="preserve"> a duty to confirm or deny whether </w:t>
      </w:r>
      <w:r w:rsidR="0021272E" w:rsidRPr="000274FE">
        <w:rPr>
          <w:rFonts w:cstheme="minorHAnsi"/>
          <w:color w:val="000000"/>
          <w:sz w:val="24"/>
          <w:szCs w:val="24"/>
          <w:shd w:val="clear" w:color="auto" w:fill="FFFFFF"/>
        </w:rPr>
        <w:t>it</w:t>
      </w:r>
      <w:r w:rsidRPr="000274FE">
        <w:rPr>
          <w:rFonts w:cstheme="minorHAnsi"/>
          <w:color w:val="000000"/>
          <w:sz w:val="24"/>
          <w:szCs w:val="24"/>
          <w:shd w:val="clear" w:color="auto" w:fill="FFFFFF"/>
        </w:rPr>
        <w:t xml:space="preserve"> hold</w:t>
      </w:r>
      <w:r w:rsidR="0021272E" w:rsidRPr="000274FE">
        <w:rPr>
          <w:rFonts w:cstheme="minorHAnsi"/>
          <w:color w:val="000000"/>
          <w:sz w:val="24"/>
          <w:szCs w:val="24"/>
          <w:shd w:val="clear" w:color="auto" w:fill="FFFFFF"/>
        </w:rPr>
        <w:t>s</w:t>
      </w:r>
      <w:r w:rsidRPr="000274FE">
        <w:rPr>
          <w:rFonts w:cstheme="minorHAnsi"/>
          <w:color w:val="000000"/>
          <w:sz w:val="24"/>
          <w:szCs w:val="24"/>
          <w:shd w:val="clear" w:color="auto" w:fill="FFFFFF"/>
        </w:rPr>
        <w:t xml:space="preserve"> the information, even if </w:t>
      </w:r>
      <w:r w:rsidR="0021272E" w:rsidRPr="000274FE">
        <w:rPr>
          <w:rFonts w:cstheme="minorHAnsi"/>
          <w:color w:val="000000"/>
          <w:sz w:val="24"/>
          <w:szCs w:val="24"/>
          <w:shd w:val="clear" w:color="auto" w:fill="FFFFFF"/>
        </w:rPr>
        <w:t>they</w:t>
      </w:r>
      <w:r w:rsidRPr="000274FE">
        <w:rPr>
          <w:rFonts w:cstheme="minorHAnsi"/>
          <w:color w:val="000000"/>
          <w:sz w:val="24"/>
          <w:szCs w:val="24"/>
          <w:shd w:val="clear" w:color="auto" w:fill="FFFFFF"/>
        </w:rPr>
        <w:t xml:space="preserve"> are not going to provide it. </w:t>
      </w:r>
      <w:r w:rsidR="0021272E"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The Practice should also tell the requester where they can get </w:t>
      </w:r>
      <w:r w:rsidR="0021272E" w:rsidRPr="000274FE">
        <w:rPr>
          <w:rFonts w:cstheme="minorHAnsi"/>
          <w:color w:val="000000"/>
          <w:sz w:val="24"/>
          <w:szCs w:val="24"/>
          <w:shd w:val="clear" w:color="auto" w:fill="FFFFFF"/>
        </w:rPr>
        <w:t>the information</w:t>
      </w:r>
      <w:r w:rsidRPr="000274FE">
        <w:rPr>
          <w:rFonts w:cstheme="minorHAnsi"/>
          <w:color w:val="000000"/>
          <w:sz w:val="24"/>
          <w:szCs w:val="24"/>
          <w:shd w:val="clear" w:color="auto" w:fill="FFFFFF"/>
        </w:rPr>
        <w:t>.</w:t>
      </w:r>
    </w:p>
    <w:p w14:paraId="0AB63877" w14:textId="3261529D" w:rsidR="00142937" w:rsidRPr="000274FE" w:rsidRDefault="00142937" w:rsidP="00142937">
      <w:pPr>
        <w:pStyle w:val="Heading2"/>
        <w:rPr>
          <w:rFonts w:cstheme="minorHAnsi"/>
          <w:sz w:val="24"/>
          <w:szCs w:val="24"/>
        </w:rPr>
      </w:pPr>
      <w:r w:rsidRPr="000274FE">
        <w:rPr>
          <w:rFonts w:cstheme="minorHAnsi"/>
          <w:color w:val="000000"/>
          <w:sz w:val="24"/>
          <w:szCs w:val="24"/>
          <w:shd w:val="clear" w:color="auto" w:fill="FFFFFF"/>
        </w:rPr>
        <w:t>This exemption is absolute, so the public interest test</w:t>
      </w:r>
      <w:r w:rsidR="0021272E" w:rsidRPr="000274FE">
        <w:rPr>
          <w:rFonts w:cstheme="minorHAnsi"/>
          <w:color w:val="000000"/>
          <w:sz w:val="24"/>
          <w:szCs w:val="24"/>
          <w:shd w:val="clear" w:color="auto" w:fill="FFFFFF"/>
        </w:rPr>
        <w:t xml:space="preserve"> does not need to be applied</w:t>
      </w:r>
      <w:r w:rsidRPr="000274FE">
        <w:rPr>
          <w:rFonts w:cstheme="minorHAnsi"/>
          <w:color w:val="000000"/>
          <w:sz w:val="24"/>
          <w:szCs w:val="24"/>
          <w:shd w:val="clear" w:color="auto" w:fill="FFFFFF"/>
        </w:rPr>
        <w:t>.</w:t>
      </w:r>
      <w:r w:rsidR="0021272E"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 More information on s.21 exemptions can be obtained from the </w:t>
      </w:r>
      <w:hyperlink r:id="rId35" w:history="1">
        <w:r w:rsidRPr="000274FE">
          <w:rPr>
            <w:rFonts w:cstheme="minorHAnsi"/>
            <w:sz w:val="24"/>
            <w:szCs w:val="24"/>
            <w:shd w:val="clear" w:color="auto" w:fill="FFFFFF"/>
          </w:rPr>
          <w:t>ICO</w:t>
        </w:r>
      </w:hyperlink>
      <w:r w:rsidRPr="000274FE">
        <w:rPr>
          <w:rFonts w:cstheme="minorHAnsi"/>
          <w:color w:val="000000"/>
          <w:sz w:val="24"/>
          <w:szCs w:val="24"/>
          <w:shd w:val="clear" w:color="auto" w:fill="FFFFFF"/>
        </w:rPr>
        <w:t>.</w:t>
      </w:r>
    </w:p>
    <w:p w14:paraId="0BA0D878" w14:textId="77777777" w:rsidR="00142937" w:rsidRPr="000274FE" w:rsidRDefault="00142937" w:rsidP="0021272E">
      <w:pPr>
        <w:pStyle w:val="Section"/>
        <w:ind w:firstLine="720"/>
        <w:rPr>
          <w:sz w:val="24"/>
        </w:rPr>
      </w:pPr>
      <w:r w:rsidRPr="000274FE">
        <w:rPr>
          <w:sz w:val="24"/>
          <w:shd w:val="clear" w:color="auto" w:fill="FFFFFF"/>
        </w:rPr>
        <w:t>SECTION 22 – INFORMATION INTENDED FOR FUTURE PUBLICATION</w:t>
      </w:r>
    </w:p>
    <w:p w14:paraId="349D1FA7" w14:textId="705861D5" w:rsidR="00142937" w:rsidRPr="000274FE" w:rsidRDefault="00142937" w:rsidP="00142937">
      <w:pPr>
        <w:pStyle w:val="Heading2"/>
        <w:rPr>
          <w:rFonts w:cstheme="minorHAnsi"/>
          <w:sz w:val="24"/>
          <w:szCs w:val="24"/>
        </w:rPr>
      </w:pPr>
      <w:r w:rsidRPr="000274FE">
        <w:rPr>
          <w:rFonts w:cstheme="minorHAnsi"/>
          <w:color w:val="000000"/>
          <w:sz w:val="24"/>
          <w:szCs w:val="24"/>
          <w:shd w:val="clear" w:color="auto" w:fill="FFFFFF"/>
        </w:rPr>
        <w:t xml:space="preserve">This exemption applies if, when receiving a request for information, the material </w:t>
      </w:r>
      <w:r w:rsidR="0021272E" w:rsidRPr="000274FE">
        <w:rPr>
          <w:rFonts w:cstheme="minorHAnsi"/>
          <w:color w:val="000000"/>
          <w:sz w:val="24"/>
          <w:szCs w:val="24"/>
          <w:shd w:val="clear" w:color="auto" w:fill="FFFFFF"/>
        </w:rPr>
        <w:t xml:space="preserve">is being prepared with the intention of it being </w:t>
      </w:r>
      <w:r w:rsidRPr="000274FE">
        <w:rPr>
          <w:rFonts w:cstheme="minorHAnsi"/>
          <w:color w:val="000000"/>
          <w:sz w:val="24"/>
          <w:szCs w:val="24"/>
          <w:shd w:val="clear" w:color="auto" w:fill="FFFFFF"/>
        </w:rPr>
        <w:t xml:space="preserve">published, and it is reasonable not to disclose it until then. </w:t>
      </w:r>
      <w:r w:rsidR="0021272E" w:rsidRPr="000274FE">
        <w:rPr>
          <w:rFonts w:cstheme="minorHAnsi"/>
          <w:color w:val="000000"/>
          <w:sz w:val="24"/>
          <w:szCs w:val="24"/>
          <w:shd w:val="clear" w:color="auto" w:fill="FFFFFF"/>
        </w:rPr>
        <w:t xml:space="preserve"> </w:t>
      </w:r>
      <w:r w:rsidR="009E5B19" w:rsidRPr="000274FE">
        <w:rPr>
          <w:rFonts w:cstheme="minorHAnsi"/>
          <w:color w:val="000000"/>
          <w:sz w:val="24"/>
          <w:szCs w:val="24"/>
          <w:shd w:val="clear" w:color="auto" w:fill="FFFFFF"/>
        </w:rPr>
        <w:t>A</w:t>
      </w:r>
      <w:r w:rsidRPr="000274FE">
        <w:rPr>
          <w:rFonts w:cstheme="minorHAnsi"/>
          <w:color w:val="000000"/>
          <w:sz w:val="24"/>
          <w:szCs w:val="24"/>
          <w:shd w:val="clear" w:color="auto" w:fill="FFFFFF"/>
        </w:rPr>
        <w:t xml:space="preserve"> publication date</w:t>
      </w:r>
      <w:r w:rsidR="009E5B19" w:rsidRPr="000274FE">
        <w:rPr>
          <w:rFonts w:cstheme="minorHAnsi"/>
          <w:color w:val="000000"/>
          <w:sz w:val="24"/>
          <w:szCs w:val="24"/>
          <w:shd w:val="clear" w:color="auto" w:fill="FFFFFF"/>
        </w:rPr>
        <w:t xml:space="preserve"> does not need to have been set</w:t>
      </w:r>
      <w:r w:rsidRPr="000274FE">
        <w:rPr>
          <w:rFonts w:cstheme="minorHAnsi"/>
          <w:color w:val="000000"/>
          <w:sz w:val="24"/>
          <w:szCs w:val="24"/>
          <w:shd w:val="clear" w:color="auto" w:fill="FFFFFF"/>
        </w:rPr>
        <w:t xml:space="preserve">. </w:t>
      </w:r>
      <w:r w:rsidR="0021272E"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This exemption does not necessarily apply to all draft materials or background research. </w:t>
      </w:r>
      <w:r w:rsidR="0021272E"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It will only apply to the material intended for publication.</w:t>
      </w:r>
    </w:p>
    <w:p w14:paraId="0AD41C05" w14:textId="692F6A35" w:rsidR="00142937" w:rsidRPr="000274FE" w:rsidRDefault="00142937" w:rsidP="005422D2">
      <w:pPr>
        <w:pStyle w:val="Heading2"/>
        <w:rPr>
          <w:sz w:val="24"/>
          <w:szCs w:val="24"/>
        </w:rPr>
      </w:pPr>
      <w:r w:rsidRPr="000274FE">
        <w:rPr>
          <w:sz w:val="24"/>
          <w:szCs w:val="24"/>
        </w:rPr>
        <w:t>The Practice does not have to confirm whether the information requested</w:t>
      </w:r>
      <w:r w:rsidR="00C367C2" w:rsidRPr="000274FE">
        <w:rPr>
          <w:sz w:val="24"/>
          <w:szCs w:val="24"/>
        </w:rPr>
        <w:t xml:space="preserve"> is held,</w:t>
      </w:r>
      <w:r w:rsidRPr="000274FE">
        <w:rPr>
          <w:sz w:val="24"/>
          <w:szCs w:val="24"/>
        </w:rPr>
        <w:t xml:space="preserve"> if doing so would reveal the content of the information. </w:t>
      </w:r>
      <w:r w:rsidR="00C367C2" w:rsidRPr="000274FE">
        <w:rPr>
          <w:sz w:val="24"/>
          <w:szCs w:val="24"/>
        </w:rPr>
        <w:t xml:space="preserve"> </w:t>
      </w:r>
      <w:r w:rsidRPr="000274FE">
        <w:rPr>
          <w:sz w:val="24"/>
          <w:szCs w:val="24"/>
        </w:rPr>
        <w:t>This exemption is qualified by the public interest test.</w:t>
      </w:r>
    </w:p>
    <w:p w14:paraId="064390D6" w14:textId="77777777" w:rsidR="00142937" w:rsidRPr="000274FE" w:rsidRDefault="00142937" w:rsidP="0021272E">
      <w:pPr>
        <w:pStyle w:val="Section"/>
        <w:ind w:firstLine="720"/>
        <w:rPr>
          <w:sz w:val="24"/>
        </w:rPr>
      </w:pPr>
      <w:r w:rsidRPr="000274FE">
        <w:rPr>
          <w:sz w:val="24"/>
          <w:shd w:val="clear" w:color="auto" w:fill="FFFFFF"/>
        </w:rPr>
        <w:t>SECTION 22A – RESEARCH INFORMATION</w:t>
      </w:r>
    </w:p>
    <w:p w14:paraId="69180AE0" w14:textId="1525CE09" w:rsidR="00142937" w:rsidRPr="000274FE" w:rsidRDefault="00142937" w:rsidP="00142937">
      <w:pPr>
        <w:pStyle w:val="Heading2"/>
        <w:rPr>
          <w:rFonts w:cstheme="minorHAnsi"/>
          <w:sz w:val="24"/>
          <w:szCs w:val="24"/>
        </w:rPr>
      </w:pPr>
      <w:r w:rsidRPr="000274FE">
        <w:rPr>
          <w:rFonts w:cstheme="minorHAnsi"/>
          <w:sz w:val="24"/>
          <w:szCs w:val="24"/>
        </w:rPr>
        <w:t>This exemption applies if, when the Practice receives a request for information:</w:t>
      </w:r>
    </w:p>
    <w:p w14:paraId="5A6628DC" w14:textId="2E588652" w:rsidR="00142937" w:rsidRPr="000274FE" w:rsidRDefault="00C367C2" w:rsidP="000864F9">
      <w:pPr>
        <w:pStyle w:val="ListBullet3"/>
        <w:rPr>
          <w:sz w:val="24"/>
          <w:szCs w:val="24"/>
        </w:rPr>
      </w:pPr>
      <w:r w:rsidRPr="000274FE">
        <w:rPr>
          <w:sz w:val="24"/>
          <w:szCs w:val="24"/>
        </w:rPr>
        <w:t>t</w:t>
      </w:r>
      <w:r w:rsidR="00142937" w:rsidRPr="000274FE">
        <w:rPr>
          <w:sz w:val="24"/>
          <w:szCs w:val="24"/>
        </w:rPr>
        <w:t xml:space="preserve">he Practice holds the information </w:t>
      </w:r>
      <w:r w:rsidRPr="000274FE">
        <w:rPr>
          <w:sz w:val="24"/>
          <w:szCs w:val="24"/>
        </w:rPr>
        <w:t>i</w:t>
      </w:r>
      <w:r w:rsidR="00142937" w:rsidRPr="000274FE">
        <w:rPr>
          <w:sz w:val="24"/>
          <w:szCs w:val="24"/>
        </w:rPr>
        <w:t xml:space="preserve">n an ongoing programme of </w:t>
      </w:r>
      <w:proofErr w:type="gramStart"/>
      <w:r w:rsidR="00142937" w:rsidRPr="000274FE">
        <w:rPr>
          <w:sz w:val="24"/>
          <w:szCs w:val="24"/>
        </w:rPr>
        <w:t>research;</w:t>
      </w:r>
      <w:proofErr w:type="gramEnd"/>
    </w:p>
    <w:p w14:paraId="1C3A78EF" w14:textId="3B352688" w:rsidR="00142937" w:rsidRPr="000274FE" w:rsidRDefault="00C367C2" w:rsidP="000864F9">
      <w:pPr>
        <w:pStyle w:val="ListBullet3"/>
        <w:rPr>
          <w:sz w:val="24"/>
          <w:szCs w:val="24"/>
        </w:rPr>
      </w:pPr>
      <w:r w:rsidRPr="000274FE">
        <w:rPr>
          <w:sz w:val="24"/>
          <w:szCs w:val="24"/>
        </w:rPr>
        <w:t>t</w:t>
      </w:r>
      <w:r w:rsidR="00142937" w:rsidRPr="000274FE">
        <w:rPr>
          <w:sz w:val="24"/>
          <w:szCs w:val="24"/>
        </w:rPr>
        <w:t>here is an intention by someone – individual or organisation, private or public sector – to publish a report of that research; and</w:t>
      </w:r>
    </w:p>
    <w:p w14:paraId="0A3E29B7" w14:textId="0092B78D" w:rsidR="00142937" w:rsidRPr="000274FE" w:rsidRDefault="00C367C2" w:rsidP="000864F9">
      <w:pPr>
        <w:pStyle w:val="ListBullet3"/>
        <w:rPr>
          <w:sz w:val="24"/>
          <w:szCs w:val="24"/>
        </w:rPr>
      </w:pPr>
      <w:r w:rsidRPr="000274FE">
        <w:rPr>
          <w:sz w:val="24"/>
          <w:szCs w:val="24"/>
        </w:rPr>
        <w:t>d</w:t>
      </w:r>
      <w:r w:rsidR="00142937" w:rsidRPr="000274FE">
        <w:rPr>
          <w:sz w:val="24"/>
          <w:szCs w:val="24"/>
        </w:rPr>
        <w:t>isclosure of the information would, or like be likely to, prejudice the research programme, the interests of the participants in the programme, or a public authority holding or intending to publish a report of research</w:t>
      </w:r>
      <w:r w:rsidRPr="000274FE">
        <w:rPr>
          <w:sz w:val="24"/>
          <w:szCs w:val="24"/>
        </w:rPr>
        <w:t>.</w:t>
      </w:r>
    </w:p>
    <w:p w14:paraId="0DD31080" w14:textId="17985519" w:rsidR="00142937" w:rsidRPr="000274FE" w:rsidRDefault="00142937" w:rsidP="00142937">
      <w:pPr>
        <w:pStyle w:val="Heading2"/>
        <w:rPr>
          <w:rFonts w:cstheme="minorHAnsi"/>
          <w:sz w:val="24"/>
          <w:szCs w:val="24"/>
        </w:rPr>
      </w:pPr>
      <w:proofErr w:type="gramStart"/>
      <w:r w:rsidRPr="000274FE">
        <w:rPr>
          <w:rFonts w:cstheme="minorHAnsi"/>
          <w:color w:val="000000"/>
          <w:sz w:val="24"/>
          <w:szCs w:val="24"/>
          <w:shd w:val="clear" w:color="auto" w:fill="FFFFFF"/>
        </w:rPr>
        <w:t>As long as</w:t>
      </w:r>
      <w:proofErr w:type="gramEnd"/>
      <w:r w:rsidRPr="000274FE">
        <w:rPr>
          <w:rFonts w:cstheme="minorHAnsi"/>
          <w:color w:val="000000"/>
          <w:sz w:val="24"/>
          <w:szCs w:val="24"/>
          <w:shd w:val="clear" w:color="auto" w:fill="FFFFFF"/>
        </w:rPr>
        <w:t xml:space="preserve"> the research programme is continuing, the exemption may apply to a wide range of information relating to the research project.</w:t>
      </w:r>
      <w:r w:rsidR="00C367C2"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 There does not have to be any intention to publish the </w:t>
      </w:r>
      <w:proofErr w:type="gramStart"/>
      <w:r w:rsidRPr="000274FE">
        <w:rPr>
          <w:rFonts w:cstheme="minorHAnsi"/>
          <w:color w:val="000000"/>
          <w:sz w:val="24"/>
          <w:szCs w:val="24"/>
          <w:shd w:val="clear" w:color="auto" w:fill="FFFFFF"/>
        </w:rPr>
        <w:t>particular information</w:t>
      </w:r>
      <w:proofErr w:type="gramEnd"/>
      <w:r w:rsidRPr="000274FE">
        <w:rPr>
          <w:rFonts w:cstheme="minorHAnsi"/>
          <w:color w:val="000000"/>
          <w:sz w:val="24"/>
          <w:szCs w:val="24"/>
          <w:shd w:val="clear" w:color="auto" w:fill="FFFFFF"/>
        </w:rPr>
        <w:t xml:space="preserve"> that has been requested, nor does there need to be an identified publication date.</w:t>
      </w:r>
    </w:p>
    <w:p w14:paraId="752CA8C2" w14:textId="7D6DF2F9" w:rsidR="00142937" w:rsidRPr="000274FE" w:rsidRDefault="00C367C2" w:rsidP="00142937">
      <w:pPr>
        <w:pStyle w:val="Heading2"/>
        <w:rPr>
          <w:rFonts w:cstheme="minorHAnsi"/>
          <w:sz w:val="24"/>
          <w:szCs w:val="24"/>
        </w:rPr>
      </w:pPr>
      <w:r w:rsidRPr="000274FE">
        <w:rPr>
          <w:rFonts w:cstheme="minorHAnsi"/>
          <w:color w:val="000000"/>
          <w:sz w:val="24"/>
          <w:szCs w:val="24"/>
          <w:shd w:val="clear" w:color="auto" w:fill="FFFFFF"/>
        </w:rPr>
        <w:t>The Practice does</w:t>
      </w:r>
      <w:r w:rsidR="00142937" w:rsidRPr="000274FE">
        <w:rPr>
          <w:rFonts w:cstheme="minorHAnsi"/>
          <w:color w:val="000000"/>
          <w:sz w:val="24"/>
          <w:szCs w:val="24"/>
          <w:shd w:val="clear" w:color="auto" w:fill="FFFFFF"/>
        </w:rPr>
        <w:t xml:space="preserve"> not have to confirm whether </w:t>
      </w:r>
      <w:r w:rsidRPr="000274FE">
        <w:rPr>
          <w:rFonts w:cstheme="minorHAnsi"/>
          <w:color w:val="000000"/>
          <w:sz w:val="24"/>
          <w:szCs w:val="24"/>
          <w:shd w:val="clear" w:color="auto" w:fill="FFFFFF"/>
        </w:rPr>
        <w:t>it holds</w:t>
      </w:r>
      <w:r w:rsidR="00142937" w:rsidRPr="000274FE">
        <w:rPr>
          <w:rFonts w:cstheme="minorHAnsi"/>
          <w:color w:val="000000"/>
          <w:sz w:val="24"/>
          <w:szCs w:val="24"/>
          <w:shd w:val="clear" w:color="auto" w:fill="FFFFFF"/>
        </w:rPr>
        <w:t xml:space="preserve"> the information requested if doing so would reveal the content of the information. </w:t>
      </w:r>
      <w:r w:rsidRPr="000274FE">
        <w:rPr>
          <w:rFonts w:cstheme="minorHAnsi"/>
          <w:color w:val="000000"/>
          <w:sz w:val="24"/>
          <w:szCs w:val="24"/>
          <w:shd w:val="clear" w:color="auto" w:fill="FFFFFF"/>
        </w:rPr>
        <w:t xml:space="preserve"> </w:t>
      </w:r>
      <w:r w:rsidR="00142937" w:rsidRPr="000274FE">
        <w:rPr>
          <w:rFonts w:cstheme="minorHAnsi"/>
          <w:color w:val="000000"/>
          <w:sz w:val="24"/>
          <w:szCs w:val="24"/>
          <w:shd w:val="clear" w:color="auto" w:fill="FFFFFF"/>
        </w:rPr>
        <w:t xml:space="preserve">This exemption is qualified by the public interest test. </w:t>
      </w:r>
      <w:r w:rsidRPr="000274FE">
        <w:rPr>
          <w:rFonts w:cstheme="minorHAnsi"/>
          <w:color w:val="000000"/>
          <w:sz w:val="24"/>
          <w:szCs w:val="24"/>
          <w:shd w:val="clear" w:color="auto" w:fill="FFFFFF"/>
        </w:rPr>
        <w:t xml:space="preserve"> </w:t>
      </w:r>
      <w:r w:rsidR="00142937" w:rsidRPr="000274FE">
        <w:rPr>
          <w:rFonts w:cstheme="minorHAnsi"/>
          <w:color w:val="000000"/>
          <w:sz w:val="24"/>
          <w:szCs w:val="24"/>
          <w:shd w:val="clear" w:color="auto" w:fill="FFFFFF"/>
        </w:rPr>
        <w:t xml:space="preserve">More information on Section 22 and 22A can be obtained from the </w:t>
      </w:r>
      <w:hyperlink r:id="rId36" w:history="1">
        <w:r w:rsidR="00142937" w:rsidRPr="000274FE">
          <w:rPr>
            <w:rFonts w:cstheme="minorHAnsi"/>
            <w:sz w:val="24"/>
            <w:szCs w:val="24"/>
            <w:shd w:val="clear" w:color="auto" w:fill="FFFFFF"/>
          </w:rPr>
          <w:t>ICO</w:t>
        </w:r>
      </w:hyperlink>
      <w:r w:rsidR="00142937" w:rsidRPr="000274FE">
        <w:rPr>
          <w:rFonts w:cstheme="minorHAnsi"/>
          <w:color w:val="000000"/>
          <w:sz w:val="24"/>
          <w:szCs w:val="24"/>
          <w:shd w:val="clear" w:color="auto" w:fill="FFFFFF"/>
        </w:rPr>
        <w:t xml:space="preserve">. </w:t>
      </w:r>
    </w:p>
    <w:p w14:paraId="0C6CB168" w14:textId="77777777" w:rsidR="000274FE" w:rsidRPr="000274FE" w:rsidRDefault="000274FE" w:rsidP="000274FE">
      <w:pPr>
        <w:pStyle w:val="Heading2"/>
        <w:numPr>
          <w:ilvl w:val="0"/>
          <w:numId w:val="0"/>
        </w:numPr>
        <w:ind w:left="720"/>
        <w:rPr>
          <w:rFonts w:cstheme="minorHAnsi"/>
          <w:sz w:val="24"/>
          <w:szCs w:val="24"/>
        </w:rPr>
      </w:pPr>
    </w:p>
    <w:p w14:paraId="4D530566" w14:textId="7251A49C" w:rsidR="00142937" w:rsidRPr="000274FE" w:rsidRDefault="00142937" w:rsidP="00871C16">
      <w:pPr>
        <w:pStyle w:val="Section"/>
        <w:ind w:firstLine="720"/>
        <w:rPr>
          <w:sz w:val="24"/>
        </w:rPr>
      </w:pPr>
      <w:r w:rsidRPr="000274FE">
        <w:rPr>
          <w:sz w:val="24"/>
          <w:shd w:val="clear" w:color="auto" w:fill="FFFFFF"/>
        </w:rPr>
        <w:lastRenderedPageBreak/>
        <w:t>SECTION 32 – COURT RECORDS</w:t>
      </w:r>
    </w:p>
    <w:p w14:paraId="0502FBB1" w14:textId="2676F3B3" w:rsidR="00142937" w:rsidRPr="000274FE" w:rsidRDefault="00142937" w:rsidP="00142937">
      <w:pPr>
        <w:pStyle w:val="Heading2"/>
        <w:rPr>
          <w:rFonts w:cstheme="minorHAnsi"/>
          <w:sz w:val="24"/>
          <w:szCs w:val="24"/>
          <w:shd w:val="clear" w:color="auto" w:fill="FFFFFF"/>
        </w:rPr>
      </w:pPr>
      <w:r w:rsidRPr="000274FE">
        <w:rPr>
          <w:rFonts w:cstheme="minorHAnsi"/>
          <w:sz w:val="24"/>
          <w:szCs w:val="24"/>
          <w:shd w:val="clear" w:color="auto" w:fill="FFFFFF"/>
        </w:rPr>
        <w:t xml:space="preserve">This exemption applies to court records held by any authority. </w:t>
      </w:r>
      <w:r w:rsidR="00871C16" w:rsidRPr="000274FE">
        <w:rPr>
          <w:rFonts w:cstheme="minorHAnsi"/>
          <w:sz w:val="24"/>
          <w:szCs w:val="24"/>
          <w:shd w:val="clear" w:color="auto" w:fill="FFFFFF"/>
        </w:rPr>
        <w:t xml:space="preserve"> </w:t>
      </w:r>
      <w:r w:rsidRPr="000274FE">
        <w:rPr>
          <w:rFonts w:cstheme="minorHAnsi"/>
          <w:sz w:val="24"/>
          <w:szCs w:val="24"/>
          <w:shd w:val="clear" w:color="auto" w:fill="FFFFFF"/>
        </w:rPr>
        <w:t>To claim this exemption, the Practice must hold the information only because it was originally in a document created or used as part of legal proceedings, including an inquiry, inquest or arbitration.</w:t>
      </w:r>
    </w:p>
    <w:p w14:paraId="5E7E5C69" w14:textId="10222692" w:rsidR="00142937" w:rsidRPr="000274FE" w:rsidRDefault="00142937" w:rsidP="00142937">
      <w:pPr>
        <w:pStyle w:val="Heading2"/>
        <w:rPr>
          <w:rFonts w:cstheme="minorHAnsi"/>
          <w:sz w:val="24"/>
          <w:szCs w:val="24"/>
        </w:rPr>
      </w:pPr>
      <w:r w:rsidRPr="000274FE">
        <w:rPr>
          <w:rFonts w:cstheme="minorHAnsi"/>
          <w:color w:val="000000"/>
          <w:sz w:val="24"/>
          <w:szCs w:val="24"/>
          <w:shd w:val="clear" w:color="auto" w:fill="FFFFFF"/>
        </w:rPr>
        <w:t>This exemption is absolute, so the public interest test</w:t>
      </w:r>
      <w:r w:rsidR="00871C16" w:rsidRPr="000274FE">
        <w:rPr>
          <w:rFonts w:cstheme="minorHAnsi"/>
          <w:color w:val="000000"/>
          <w:sz w:val="24"/>
          <w:szCs w:val="24"/>
          <w:shd w:val="clear" w:color="auto" w:fill="FFFFFF"/>
        </w:rPr>
        <w:t xml:space="preserve"> does not need to be applied</w:t>
      </w:r>
      <w:r w:rsidRPr="000274FE">
        <w:rPr>
          <w:rFonts w:cstheme="minorHAnsi"/>
          <w:color w:val="000000"/>
          <w:sz w:val="24"/>
          <w:szCs w:val="24"/>
          <w:shd w:val="clear" w:color="auto" w:fill="FFFFFF"/>
        </w:rPr>
        <w:t>.</w:t>
      </w:r>
      <w:r w:rsidR="00871C16"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 The Practice also does not have to confirm or deny whether </w:t>
      </w:r>
      <w:r w:rsidR="00871C16" w:rsidRPr="000274FE">
        <w:rPr>
          <w:rFonts w:cstheme="minorHAnsi"/>
          <w:color w:val="000000"/>
          <w:sz w:val="24"/>
          <w:szCs w:val="24"/>
          <w:shd w:val="clear" w:color="auto" w:fill="FFFFFF"/>
        </w:rPr>
        <w:t xml:space="preserve">it holds </w:t>
      </w:r>
      <w:r w:rsidRPr="000274FE">
        <w:rPr>
          <w:rFonts w:cstheme="minorHAnsi"/>
          <w:color w:val="000000"/>
          <w:sz w:val="24"/>
          <w:szCs w:val="24"/>
          <w:shd w:val="clear" w:color="auto" w:fill="FFFFFF"/>
        </w:rPr>
        <w:t xml:space="preserve">any information that is or would fall within the definition above. </w:t>
      </w:r>
      <w:r w:rsidR="00871C16"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More information on </w:t>
      </w:r>
      <w:hyperlink r:id="rId37" w:history="1">
        <w:r w:rsidRPr="000274FE">
          <w:rPr>
            <w:rFonts w:cstheme="minorHAnsi"/>
            <w:sz w:val="24"/>
            <w:szCs w:val="24"/>
            <w:shd w:val="clear" w:color="auto" w:fill="FFFFFF"/>
          </w:rPr>
          <w:t>Section 32</w:t>
        </w:r>
      </w:hyperlink>
      <w:r w:rsidRPr="000274FE">
        <w:rPr>
          <w:rFonts w:cstheme="minorHAnsi"/>
          <w:color w:val="000000"/>
          <w:sz w:val="24"/>
          <w:szCs w:val="24"/>
          <w:shd w:val="clear" w:color="auto" w:fill="FFFFFF"/>
        </w:rPr>
        <w:t xml:space="preserve"> can be obtained from the ICO. </w:t>
      </w:r>
    </w:p>
    <w:p w14:paraId="30AC214E" w14:textId="77777777" w:rsidR="00142937" w:rsidRPr="000274FE" w:rsidRDefault="00142937" w:rsidP="00871C16">
      <w:pPr>
        <w:ind w:firstLine="720"/>
        <w:rPr>
          <w:rFonts w:cstheme="minorHAnsi"/>
          <w:b/>
          <w:bCs/>
          <w:color w:val="4472C4" w:themeColor="accent1"/>
          <w:sz w:val="24"/>
          <w:szCs w:val="24"/>
        </w:rPr>
      </w:pPr>
      <w:r w:rsidRPr="000274FE">
        <w:rPr>
          <w:rFonts w:cstheme="minorHAnsi"/>
          <w:b/>
          <w:bCs/>
          <w:color w:val="4472C4" w:themeColor="accent1"/>
          <w:sz w:val="24"/>
          <w:szCs w:val="24"/>
        </w:rPr>
        <w:t>SECTION 38 – ENDANGERING HEALTH AND SAFETY</w:t>
      </w:r>
    </w:p>
    <w:p w14:paraId="56867C29" w14:textId="3D72943C" w:rsidR="00142937" w:rsidRPr="000274FE" w:rsidRDefault="00142937" w:rsidP="00142937">
      <w:pPr>
        <w:pStyle w:val="Heading2"/>
        <w:rPr>
          <w:rFonts w:cstheme="minorHAnsi"/>
          <w:sz w:val="24"/>
          <w:szCs w:val="24"/>
          <w:shd w:val="clear" w:color="auto" w:fill="FFFFFF"/>
        </w:rPr>
      </w:pPr>
      <w:r w:rsidRPr="000274FE">
        <w:rPr>
          <w:rFonts w:cstheme="minorHAnsi"/>
          <w:sz w:val="24"/>
          <w:szCs w:val="24"/>
          <w:shd w:val="clear" w:color="auto" w:fill="FFFFFF"/>
        </w:rPr>
        <w:t>The Practice can apply the section 38 exemption if complying with the request would or would be likely to endanger anyone’s physical or mental health or safety.</w:t>
      </w:r>
      <w:r w:rsidR="00871C16" w:rsidRPr="000274FE">
        <w:rPr>
          <w:rFonts w:cstheme="minorHAnsi"/>
          <w:sz w:val="24"/>
          <w:szCs w:val="24"/>
          <w:shd w:val="clear" w:color="auto" w:fill="FFFFFF"/>
        </w:rPr>
        <w:t xml:space="preserve"> </w:t>
      </w:r>
      <w:r w:rsidRPr="000274FE">
        <w:rPr>
          <w:rFonts w:cstheme="minorHAnsi"/>
          <w:sz w:val="24"/>
          <w:szCs w:val="24"/>
          <w:shd w:val="clear" w:color="auto" w:fill="FFFFFF"/>
        </w:rPr>
        <w:t xml:space="preserve"> In deciding whether this exemption</w:t>
      </w:r>
      <w:r w:rsidR="00871C16" w:rsidRPr="000274FE">
        <w:rPr>
          <w:rFonts w:cstheme="minorHAnsi"/>
          <w:sz w:val="24"/>
          <w:szCs w:val="24"/>
          <w:shd w:val="clear" w:color="auto" w:fill="FFFFFF"/>
        </w:rPr>
        <w:t xml:space="preserve"> can be applied</w:t>
      </w:r>
      <w:r w:rsidRPr="000274FE">
        <w:rPr>
          <w:rFonts w:cstheme="minorHAnsi"/>
          <w:sz w:val="24"/>
          <w:szCs w:val="24"/>
          <w:shd w:val="clear" w:color="auto" w:fill="FFFFFF"/>
        </w:rPr>
        <w:t xml:space="preserve">, the same test </w:t>
      </w:r>
      <w:r w:rsidR="00871C16" w:rsidRPr="000274FE">
        <w:rPr>
          <w:rFonts w:cstheme="minorHAnsi"/>
          <w:sz w:val="24"/>
          <w:szCs w:val="24"/>
          <w:shd w:val="clear" w:color="auto" w:fill="FFFFFF"/>
        </w:rPr>
        <w:t xml:space="preserve">should be used </w:t>
      </w:r>
      <w:r w:rsidRPr="000274FE">
        <w:rPr>
          <w:rFonts w:cstheme="minorHAnsi"/>
          <w:sz w:val="24"/>
          <w:szCs w:val="24"/>
          <w:shd w:val="clear" w:color="auto" w:fill="FFFFFF"/>
        </w:rPr>
        <w:t xml:space="preserve">as would </w:t>
      </w:r>
      <w:r w:rsidR="00871C16" w:rsidRPr="000274FE">
        <w:rPr>
          <w:rFonts w:cstheme="minorHAnsi"/>
          <w:sz w:val="24"/>
          <w:szCs w:val="24"/>
          <w:shd w:val="clear" w:color="auto" w:fill="FFFFFF"/>
        </w:rPr>
        <w:t xml:space="preserve">be used </w:t>
      </w:r>
      <w:r w:rsidRPr="000274FE">
        <w:rPr>
          <w:rFonts w:cstheme="minorHAnsi"/>
          <w:sz w:val="24"/>
          <w:szCs w:val="24"/>
          <w:shd w:val="clear" w:color="auto" w:fill="FFFFFF"/>
        </w:rPr>
        <w:t xml:space="preserve">for prejudice. </w:t>
      </w:r>
    </w:p>
    <w:p w14:paraId="543DC2F7" w14:textId="6FAD9FAE" w:rsidR="007675EC" w:rsidRPr="000274FE" w:rsidRDefault="00142937" w:rsidP="000864F9">
      <w:pPr>
        <w:pStyle w:val="Heading2"/>
        <w:rPr>
          <w:rFonts w:cstheme="minorHAnsi"/>
          <w:color w:val="4472C4" w:themeColor="accent1"/>
          <w:sz w:val="24"/>
          <w:szCs w:val="24"/>
        </w:rPr>
      </w:pPr>
      <w:r w:rsidRPr="000274FE">
        <w:rPr>
          <w:rFonts w:cstheme="minorHAnsi"/>
          <w:sz w:val="24"/>
          <w:szCs w:val="24"/>
          <w:shd w:val="clear" w:color="auto" w:fill="FFFFFF"/>
        </w:rPr>
        <w:t xml:space="preserve">This exemption is qualified by the public interest test. </w:t>
      </w:r>
      <w:r w:rsidR="00871C16" w:rsidRPr="000274FE">
        <w:rPr>
          <w:rFonts w:cstheme="minorHAnsi"/>
          <w:sz w:val="24"/>
          <w:szCs w:val="24"/>
          <w:shd w:val="clear" w:color="auto" w:fill="FFFFFF"/>
        </w:rPr>
        <w:t xml:space="preserve"> </w:t>
      </w:r>
      <w:r w:rsidRPr="000274FE">
        <w:rPr>
          <w:rFonts w:cstheme="minorHAnsi"/>
          <w:sz w:val="24"/>
          <w:szCs w:val="24"/>
          <w:shd w:val="clear" w:color="auto" w:fill="FFFFFF"/>
        </w:rPr>
        <w:t xml:space="preserve">More information about section 38 can be obtained from the </w:t>
      </w:r>
      <w:hyperlink r:id="rId38" w:history="1">
        <w:r w:rsidRPr="000274FE">
          <w:rPr>
            <w:rFonts w:cstheme="minorHAnsi"/>
            <w:sz w:val="24"/>
            <w:szCs w:val="24"/>
            <w:shd w:val="clear" w:color="auto" w:fill="FFFFFF"/>
          </w:rPr>
          <w:t>ICO</w:t>
        </w:r>
      </w:hyperlink>
      <w:r w:rsidRPr="000274FE">
        <w:rPr>
          <w:rFonts w:cstheme="minorHAnsi"/>
          <w:sz w:val="24"/>
          <w:szCs w:val="24"/>
          <w:shd w:val="clear" w:color="auto" w:fill="FFFFFF"/>
        </w:rPr>
        <w:t>.</w:t>
      </w:r>
    </w:p>
    <w:p w14:paraId="00651A48" w14:textId="77777777" w:rsidR="00142937" w:rsidRPr="000274FE" w:rsidRDefault="00142937" w:rsidP="00871C16">
      <w:pPr>
        <w:pStyle w:val="Section"/>
        <w:ind w:firstLine="720"/>
        <w:rPr>
          <w:sz w:val="24"/>
          <w:shd w:val="clear" w:color="auto" w:fill="FFFFFF"/>
        </w:rPr>
      </w:pPr>
      <w:r w:rsidRPr="000274FE">
        <w:rPr>
          <w:sz w:val="24"/>
          <w:shd w:val="clear" w:color="auto" w:fill="FFFFFF"/>
        </w:rPr>
        <w:t>SECTION 39 – ENVIRONMENTAL INFORMATION</w:t>
      </w:r>
    </w:p>
    <w:p w14:paraId="41ADF9AD" w14:textId="0A8E7624" w:rsidR="00142937" w:rsidRPr="000274FE" w:rsidRDefault="00142937" w:rsidP="00142937">
      <w:pPr>
        <w:pStyle w:val="Heading2"/>
        <w:rPr>
          <w:rFonts w:cstheme="minorHAnsi"/>
          <w:sz w:val="24"/>
          <w:szCs w:val="24"/>
          <w:shd w:val="clear" w:color="auto" w:fill="FFFFFF"/>
        </w:rPr>
      </w:pPr>
      <w:r w:rsidRPr="000274FE">
        <w:rPr>
          <w:rFonts w:cstheme="minorHAnsi"/>
          <w:sz w:val="24"/>
          <w:szCs w:val="24"/>
          <w:shd w:val="clear" w:color="auto" w:fill="FFFFFF"/>
        </w:rPr>
        <w:t xml:space="preserve">The Practice should deal with any request that falls within the scope of the Environmental Information Regulations 2004 under those Regulations. </w:t>
      </w:r>
      <w:r w:rsidR="00871C16" w:rsidRPr="000274FE">
        <w:rPr>
          <w:rFonts w:cstheme="minorHAnsi"/>
          <w:sz w:val="24"/>
          <w:szCs w:val="24"/>
          <w:shd w:val="clear" w:color="auto" w:fill="FFFFFF"/>
        </w:rPr>
        <w:t xml:space="preserve"> </w:t>
      </w:r>
      <w:r w:rsidRPr="000274FE">
        <w:rPr>
          <w:rFonts w:cstheme="minorHAnsi"/>
          <w:sz w:val="24"/>
          <w:szCs w:val="24"/>
          <w:shd w:val="clear" w:color="auto" w:fill="FFFFFF"/>
        </w:rPr>
        <w:t>This exemption confirms that, in practice, such requests</w:t>
      </w:r>
      <w:r w:rsidR="00871C16" w:rsidRPr="000274FE">
        <w:rPr>
          <w:rFonts w:cstheme="minorHAnsi"/>
          <w:sz w:val="24"/>
          <w:szCs w:val="24"/>
          <w:shd w:val="clear" w:color="auto" w:fill="FFFFFF"/>
        </w:rPr>
        <w:t xml:space="preserve"> do not also need to be considered</w:t>
      </w:r>
      <w:r w:rsidRPr="000274FE">
        <w:rPr>
          <w:rFonts w:cstheme="minorHAnsi"/>
          <w:sz w:val="24"/>
          <w:szCs w:val="24"/>
          <w:shd w:val="clear" w:color="auto" w:fill="FFFFFF"/>
        </w:rPr>
        <w:t xml:space="preserve"> under the Freedom of Information Act.</w:t>
      </w:r>
    </w:p>
    <w:p w14:paraId="4A502891" w14:textId="3ECFB8BA" w:rsidR="00142937" w:rsidRPr="000274FE" w:rsidRDefault="00142937" w:rsidP="00142937">
      <w:pPr>
        <w:pStyle w:val="Heading2"/>
        <w:rPr>
          <w:rFonts w:cstheme="minorHAnsi"/>
          <w:sz w:val="24"/>
          <w:szCs w:val="24"/>
        </w:rPr>
      </w:pPr>
      <w:r w:rsidRPr="000274FE">
        <w:rPr>
          <w:rFonts w:cstheme="minorHAnsi"/>
          <w:color w:val="000000"/>
          <w:sz w:val="24"/>
          <w:szCs w:val="24"/>
          <w:shd w:val="clear" w:color="auto" w:fill="FFFFFF"/>
        </w:rPr>
        <w:t xml:space="preserve">This exemption is qualified by the public interest test, but because this type of request </w:t>
      </w:r>
      <w:r w:rsidR="00871C16" w:rsidRPr="000274FE">
        <w:rPr>
          <w:rFonts w:cstheme="minorHAnsi"/>
          <w:color w:val="000000"/>
          <w:sz w:val="24"/>
          <w:szCs w:val="24"/>
          <w:shd w:val="clear" w:color="auto" w:fill="FFFFFF"/>
        </w:rPr>
        <w:t xml:space="preserve">must be handled </w:t>
      </w:r>
      <w:r w:rsidRPr="000274FE">
        <w:rPr>
          <w:rFonts w:cstheme="minorHAnsi"/>
          <w:color w:val="000000"/>
          <w:sz w:val="24"/>
          <w:szCs w:val="24"/>
          <w:shd w:val="clear" w:color="auto" w:fill="FFFFFF"/>
        </w:rPr>
        <w:t xml:space="preserve">under the Environmental Information Regulations, it is hard to imagine when it would be in the public interest to also consider it under the Freedom of Information Act. More information about </w:t>
      </w:r>
      <w:hyperlink r:id="rId39" w:history="1">
        <w:r w:rsidRPr="000274FE">
          <w:rPr>
            <w:rFonts w:cstheme="minorHAnsi"/>
            <w:sz w:val="24"/>
            <w:szCs w:val="24"/>
            <w:shd w:val="clear" w:color="auto" w:fill="FFFFFF"/>
          </w:rPr>
          <w:t>section 39</w:t>
        </w:r>
      </w:hyperlink>
      <w:r w:rsidRPr="000274FE">
        <w:rPr>
          <w:rFonts w:cstheme="minorHAnsi"/>
          <w:color w:val="000000"/>
          <w:sz w:val="24"/>
          <w:szCs w:val="24"/>
          <w:shd w:val="clear" w:color="auto" w:fill="FFFFFF"/>
        </w:rPr>
        <w:t xml:space="preserve"> can be obtained from the ICO. </w:t>
      </w:r>
    </w:p>
    <w:p w14:paraId="003128E2" w14:textId="77777777" w:rsidR="00142937" w:rsidRPr="000274FE" w:rsidRDefault="00142937" w:rsidP="00871C16">
      <w:pPr>
        <w:pStyle w:val="Section"/>
        <w:ind w:firstLine="720"/>
        <w:rPr>
          <w:sz w:val="24"/>
          <w:shd w:val="clear" w:color="auto" w:fill="FFFFFF"/>
        </w:rPr>
      </w:pPr>
      <w:r w:rsidRPr="000274FE">
        <w:rPr>
          <w:sz w:val="24"/>
          <w:shd w:val="clear" w:color="auto" w:fill="FFFFFF"/>
        </w:rPr>
        <w:t>SECTION 40(1) – PERSONAL INFORMATION OF THE REQUESTER</w:t>
      </w:r>
    </w:p>
    <w:p w14:paraId="78FA1048" w14:textId="1B9C566B" w:rsidR="00142937" w:rsidRPr="000274FE" w:rsidRDefault="00142937" w:rsidP="00142937">
      <w:pPr>
        <w:pStyle w:val="Heading2"/>
        <w:rPr>
          <w:rFonts w:cstheme="minorHAnsi"/>
          <w:sz w:val="24"/>
          <w:szCs w:val="24"/>
          <w:shd w:val="clear" w:color="auto" w:fill="FFFFFF"/>
        </w:rPr>
      </w:pPr>
      <w:r w:rsidRPr="000274FE">
        <w:rPr>
          <w:rFonts w:cstheme="minorHAnsi"/>
          <w:sz w:val="24"/>
          <w:szCs w:val="24"/>
          <w:shd w:val="clear" w:color="auto" w:fill="FFFFFF"/>
        </w:rPr>
        <w:t xml:space="preserve">This exemption confirms that the Practice should treat any request made by an individual for their own personal data as a subject access request. </w:t>
      </w:r>
      <w:r w:rsidR="00871C16" w:rsidRPr="000274FE">
        <w:rPr>
          <w:rFonts w:cstheme="minorHAnsi"/>
          <w:sz w:val="24"/>
          <w:szCs w:val="24"/>
          <w:shd w:val="clear" w:color="auto" w:fill="FFFFFF"/>
        </w:rPr>
        <w:t xml:space="preserve"> </w:t>
      </w:r>
      <w:r w:rsidRPr="000274FE">
        <w:rPr>
          <w:rFonts w:cstheme="minorHAnsi"/>
          <w:sz w:val="24"/>
          <w:szCs w:val="24"/>
          <w:shd w:val="clear" w:color="auto" w:fill="FFFFFF"/>
        </w:rPr>
        <w:t xml:space="preserve">The Practice should apply this to any part of the request that is for the requester’s own personal data. </w:t>
      </w:r>
      <w:r w:rsidR="00871C16" w:rsidRPr="000274FE">
        <w:rPr>
          <w:rFonts w:cstheme="minorHAnsi"/>
          <w:sz w:val="24"/>
          <w:szCs w:val="24"/>
          <w:shd w:val="clear" w:color="auto" w:fill="FFFFFF"/>
        </w:rPr>
        <w:t xml:space="preserve"> </w:t>
      </w:r>
      <w:r w:rsidRPr="000274FE">
        <w:rPr>
          <w:rFonts w:cstheme="minorHAnsi"/>
          <w:sz w:val="24"/>
          <w:szCs w:val="24"/>
          <w:shd w:val="clear" w:color="auto" w:fill="FFFFFF"/>
        </w:rPr>
        <w:t>They should not be required to make a second, separate subject access request for these parts of their request. </w:t>
      </w:r>
    </w:p>
    <w:p w14:paraId="2C4FA47A" w14:textId="31E9A556" w:rsidR="00142937" w:rsidRPr="000274FE" w:rsidRDefault="00142937" w:rsidP="00142937">
      <w:pPr>
        <w:pStyle w:val="Heading2"/>
        <w:rPr>
          <w:rFonts w:cstheme="minorHAnsi"/>
          <w:sz w:val="24"/>
          <w:szCs w:val="24"/>
        </w:rPr>
      </w:pPr>
      <w:r w:rsidRPr="000274FE">
        <w:rPr>
          <w:rFonts w:cstheme="minorHAnsi"/>
          <w:color w:val="000000"/>
          <w:sz w:val="24"/>
          <w:szCs w:val="24"/>
          <w:shd w:val="clear" w:color="auto" w:fill="FFFFFF"/>
        </w:rPr>
        <w:t>If the information contains some of the requester’s personal data plus other non-personal information, then the Practice will need to consider releasing some of the information under the</w:t>
      </w:r>
      <w:r w:rsidR="00871C16"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UK</w:t>
      </w:r>
      <w:r w:rsidR="00871C16"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GDPR or the DPA 2018</w:t>
      </w:r>
      <w:r w:rsidR="00871C16"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and some under the Freedom of Information Act.</w:t>
      </w:r>
    </w:p>
    <w:p w14:paraId="0665AA06" w14:textId="4FFF9446" w:rsidR="00142937" w:rsidRPr="000274FE" w:rsidRDefault="00142937" w:rsidP="00142937">
      <w:pPr>
        <w:pStyle w:val="Heading2"/>
        <w:rPr>
          <w:rFonts w:cstheme="minorHAnsi"/>
          <w:sz w:val="24"/>
          <w:szCs w:val="24"/>
        </w:rPr>
      </w:pPr>
      <w:r w:rsidRPr="000274FE">
        <w:rPr>
          <w:rFonts w:cstheme="minorHAnsi"/>
          <w:color w:val="000000"/>
          <w:sz w:val="24"/>
          <w:szCs w:val="24"/>
          <w:shd w:val="clear" w:color="auto" w:fill="FFFFFF"/>
        </w:rPr>
        <w:t>This exemption is absolute, so the public interest test</w:t>
      </w:r>
      <w:r w:rsidR="00871C16" w:rsidRPr="000274FE">
        <w:rPr>
          <w:rFonts w:cstheme="minorHAnsi"/>
          <w:color w:val="000000"/>
          <w:sz w:val="24"/>
          <w:szCs w:val="24"/>
          <w:shd w:val="clear" w:color="auto" w:fill="FFFFFF"/>
        </w:rPr>
        <w:t xml:space="preserve"> does not need to be applied</w:t>
      </w:r>
      <w:r w:rsidRPr="000274FE">
        <w:rPr>
          <w:rFonts w:cstheme="minorHAnsi"/>
          <w:color w:val="000000"/>
          <w:sz w:val="24"/>
          <w:szCs w:val="24"/>
          <w:shd w:val="clear" w:color="auto" w:fill="FFFFFF"/>
        </w:rPr>
        <w:t>.</w:t>
      </w:r>
      <w:r w:rsidR="00871C16"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 </w:t>
      </w:r>
      <w:r w:rsidR="00871C16" w:rsidRPr="000274FE">
        <w:rPr>
          <w:rFonts w:cstheme="minorHAnsi"/>
          <w:color w:val="000000"/>
          <w:sz w:val="24"/>
          <w:szCs w:val="24"/>
          <w:shd w:val="clear" w:color="auto" w:fill="FFFFFF"/>
        </w:rPr>
        <w:t>The r</w:t>
      </w:r>
      <w:r w:rsidRPr="000274FE">
        <w:rPr>
          <w:rFonts w:cstheme="minorHAnsi"/>
          <w:color w:val="000000"/>
          <w:sz w:val="24"/>
          <w:szCs w:val="24"/>
          <w:shd w:val="clear" w:color="auto" w:fill="FFFFFF"/>
        </w:rPr>
        <w:t xml:space="preserve">equested information may involve the personal data of both the requester and others. </w:t>
      </w:r>
      <w:r w:rsidR="00871C16"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More information on </w:t>
      </w:r>
      <w:hyperlink r:id="rId40" w:history="1">
        <w:r w:rsidRPr="000274FE">
          <w:rPr>
            <w:rFonts w:cstheme="minorHAnsi"/>
            <w:sz w:val="24"/>
            <w:szCs w:val="24"/>
            <w:shd w:val="clear" w:color="auto" w:fill="FFFFFF"/>
          </w:rPr>
          <w:t>section 40(1)</w:t>
        </w:r>
      </w:hyperlink>
      <w:r w:rsidRPr="000274FE">
        <w:rPr>
          <w:rFonts w:cstheme="minorHAnsi"/>
          <w:color w:val="000000"/>
          <w:sz w:val="24"/>
          <w:szCs w:val="24"/>
          <w:shd w:val="clear" w:color="auto" w:fill="FFFFFF"/>
        </w:rPr>
        <w:t xml:space="preserve"> can be obtained from the ICO.</w:t>
      </w:r>
    </w:p>
    <w:p w14:paraId="05386985" w14:textId="77777777" w:rsidR="00142937" w:rsidRPr="000274FE" w:rsidRDefault="00142937" w:rsidP="00871C16">
      <w:pPr>
        <w:pStyle w:val="Section"/>
        <w:ind w:firstLine="720"/>
        <w:rPr>
          <w:sz w:val="24"/>
        </w:rPr>
      </w:pPr>
      <w:r w:rsidRPr="000274FE">
        <w:rPr>
          <w:sz w:val="24"/>
        </w:rPr>
        <w:lastRenderedPageBreak/>
        <w:t>SECTION 40(2) – PERSONAL INFORMATION</w:t>
      </w:r>
    </w:p>
    <w:p w14:paraId="6034D5C7" w14:textId="56481767" w:rsidR="00142937" w:rsidRPr="000274FE" w:rsidRDefault="00142937" w:rsidP="00142937">
      <w:pPr>
        <w:pStyle w:val="Heading2"/>
        <w:rPr>
          <w:rFonts w:cstheme="minorHAnsi"/>
          <w:sz w:val="24"/>
          <w:szCs w:val="24"/>
          <w:shd w:val="clear" w:color="auto" w:fill="FFFFFF"/>
        </w:rPr>
      </w:pPr>
      <w:r w:rsidRPr="000274FE">
        <w:rPr>
          <w:rFonts w:cstheme="minorHAnsi"/>
          <w:sz w:val="24"/>
          <w:szCs w:val="24"/>
          <w:shd w:val="clear" w:color="auto" w:fill="FFFFFF"/>
        </w:rPr>
        <w:t>This exemption covers the personal data of third parties (anyone other than the requester) where complying with the request would breach any of the principles in the UK</w:t>
      </w:r>
      <w:r w:rsidR="00871C16" w:rsidRPr="000274FE">
        <w:rPr>
          <w:rFonts w:cstheme="minorHAnsi"/>
          <w:sz w:val="24"/>
          <w:szCs w:val="24"/>
          <w:shd w:val="clear" w:color="auto" w:fill="FFFFFF"/>
        </w:rPr>
        <w:t xml:space="preserve"> </w:t>
      </w:r>
      <w:r w:rsidRPr="000274FE">
        <w:rPr>
          <w:rFonts w:cstheme="minorHAnsi"/>
          <w:sz w:val="24"/>
          <w:szCs w:val="24"/>
          <w:shd w:val="clear" w:color="auto" w:fill="FFFFFF"/>
        </w:rPr>
        <w:t xml:space="preserve">GDPR or DPA 2018. </w:t>
      </w:r>
      <w:r w:rsidR="00871C16" w:rsidRPr="000274FE">
        <w:rPr>
          <w:rFonts w:cstheme="minorHAnsi"/>
          <w:sz w:val="24"/>
          <w:szCs w:val="24"/>
          <w:shd w:val="clear" w:color="auto" w:fill="FFFFFF"/>
        </w:rPr>
        <w:t xml:space="preserve"> </w:t>
      </w:r>
      <w:r w:rsidRPr="000274FE">
        <w:rPr>
          <w:rFonts w:cstheme="minorHAnsi"/>
          <w:sz w:val="24"/>
          <w:szCs w:val="24"/>
          <w:shd w:val="clear" w:color="auto" w:fill="FFFFFF"/>
        </w:rPr>
        <w:t xml:space="preserve">This exemption can only apply to information about people who are living; it cannot be used to protect information about people who </w:t>
      </w:r>
      <w:r w:rsidR="00871C16" w:rsidRPr="000274FE">
        <w:rPr>
          <w:rFonts w:cstheme="minorHAnsi"/>
          <w:sz w:val="24"/>
          <w:szCs w:val="24"/>
          <w:shd w:val="clear" w:color="auto" w:fill="FFFFFF"/>
        </w:rPr>
        <w:t>are deceased</w:t>
      </w:r>
      <w:r w:rsidRPr="000274FE">
        <w:rPr>
          <w:rFonts w:cstheme="minorHAnsi"/>
          <w:sz w:val="24"/>
          <w:szCs w:val="24"/>
          <w:shd w:val="clear" w:color="auto" w:fill="FFFFFF"/>
        </w:rPr>
        <w:t>.</w:t>
      </w:r>
    </w:p>
    <w:p w14:paraId="65FA118D" w14:textId="5E8786B7" w:rsidR="00142937" w:rsidRPr="000274FE" w:rsidRDefault="00142937" w:rsidP="00142937">
      <w:pPr>
        <w:pStyle w:val="Heading2"/>
        <w:rPr>
          <w:rFonts w:cstheme="minorHAnsi"/>
          <w:sz w:val="24"/>
          <w:szCs w:val="24"/>
        </w:rPr>
      </w:pPr>
      <w:r w:rsidRPr="000274FE">
        <w:rPr>
          <w:rFonts w:cstheme="minorHAnsi"/>
          <w:color w:val="000000"/>
          <w:sz w:val="24"/>
          <w:szCs w:val="24"/>
          <w:shd w:val="clear" w:color="auto" w:fill="FFFFFF"/>
        </w:rPr>
        <w:t>The most common reason for refusing information under this exemption is that</w:t>
      </w:r>
      <w:r w:rsidR="00871C16"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disclosure would contravene UK</w:t>
      </w:r>
      <w:r w:rsidR="00871C16"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GDPR principle (a) because there is no lawful basis for processing. </w:t>
      </w:r>
      <w:r w:rsidR="00871C16"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Section 40(2) is an absolute exemption, so the public interest test</w:t>
      </w:r>
      <w:r w:rsidR="00871C16" w:rsidRPr="000274FE">
        <w:rPr>
          <w:rFonts w:cstheme="minorHAnsi"/>
          <w:color w:val="000000"/>
          <w:sz w:val="24"/>
          <w:szCs w:val="24"/>
          <w:shd w:val="clear" w:color="auto" w:fill="FFFFFF"/>
        </w:rPr>
        <w:t xml:space="preserve"> does not need to be applied</w:t>
      </w:r>
      <w:r w:rsidRPr="000274FE">
        <w:rPr>
          <w:rFonts w:cstheme="minorHAnsi"/>
          <w:color w:val="000000"/>
          <w:sz w:val="24"/>
          <w:szCs w:val="24"/>
          <w:shd w:val="clear" w:color="auto" w:fill="FFFFFF"/>
        </w:rPr>
        <w:t>.</w:t>
      </w:r>
      <w:r w:rsidR="00871C16"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 However, public interest</w:t>
      </w:r>
      <w:r w:rsidR="00871C16"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arguments</w:t>
      </w:r>
      <w:r w:rsidR="00871C16" w:rsidRPr="000274FE">
        <w:rPr>
          <w:rFonts w:cstheme="minorHAnsi"/>
          <w:color w:val="000000"/>
          <w:sz w:val="24"/>
          <w:szCs w:val="24"/>
          <w:shd w:val="clear" w:color="auto" w:fill="FFFFFF"/>
        </w:rPr>
        <w:t xml:space="preserve"> may need to be included </w:t>
      </w:r>
      <w:r w:rsidRPr="000274FE">
        <w:rPr>
          <w:rFonts w:cstheme="minorHAnsi"/>
          <w:color w:val="000000"/>
          <w:sz w:val="24"/>
          <w:szCs w:val="24"/>
          <w:shd w:val="clear" w:color="auto" w:fill="FFFFFF"/>
        </w:rPr>
        <w:t>when</w:t>
      </w:r>
      <w:r w:rsidR="00871C16"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considering lawfulness under</w:t>
      </w:r>
      <w:r w:rsidR="00871C16"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principle</w:t>
      </w:r>
      <w:r w:rsidR="00871C16"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(a).</w:t>
      </w:r>
    </w:p>
    <w:p w14:paraId="5EBC9997" w14:textId="543FAD39" w:rsidR="007675EC" w:rsidRPr="000274FE" w:rsidRDefault="00142937" w:rsidP="005422D2">
      <w:pPr>
        <w:pStyle w:val="Heading2"/>
        <w:rPr>
          <w:rFonts w:cstheme="minorHAnsi"/>
          <w:sz w:val="24"/>
          <w:szCs w:val="24"/>
        </w:rPr>
      </w:pPr>
      <w:r w:rsidRPr="000274FE">
        <w:rPr>
          <w:rFonts w:cstheme="minorHAnsi"/>
          <w:color w:val="000000"/>
          <w:sz w:val="24"/>
          <w:szCs w:val="24"/>
          <w:shd w:val="clear" w:color="auto" w:fill="FFFFFF"/>
        </w:rPr>
        <w:t xml:space="preserve">Section 40 includes other provisions for </w:t>
      </w:r>
      <w:r w:rsidR="00871C16" w:rsidRPr="000274FE">
        <w:rPr>
          <w:rFonts w:cstheme="minorHAnsi"/>
          <w:color w:val="000000"/>
          <w:sz w:val="24"/>
          <w:szCs w:val="24"/>
          <w:shd w:val="clear" w:color="auto" w:fill="FFFFFF"/>
        </w:rPr>
        <w:t>individual</w:t>
      </w:r>
      <w:r w:rsidRPr="000274FE">
        <w:rPr>
          <w:rFonts w:cstheme="minorHAnsi"/>
          <w:color w:val="000000"/>
          <w:sz w:val="24"/>
          <w:szCs w:val="24"/>
          <w:shd w:val="clear" w:color="auto" w:fill="FFFFFF"/>
        </w:rPr>
        <w:t xml:space="preserve"> data protection rights, and these provisions are qualified by a public interest test. </w:t>
      </w:r>
      <w:r w:rsidR="00871C16"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More information on </w:t>
      </w:r>
      <w:hyperlink r:id="rId41" w:history="1">
        <w:r w:rsidRPr="000274FE">
          <w:rPr>
            <w:rFonts w:cstheme="minorHAnsi"/>
            <w:sz w:val="24"/>
            <w:szCs w:val="24"/>
            <w:shd w:val="clear" w:color="auto" w:fill="FFFFFF"/>
          </w:rPr>
          <w:t>section 40(2)</w:t>
        </w:r>
      </w:hyperlink>
      <w:r w:rsidRPr="000274FE">
        <w:rPr>
          <w:rFonts w:cstheme="minorHAnsi"/>
          <w:color w:val="000000"/>
          <w:sz w:val="24"/>
          <w:szCs w:val="24"/>
          <w:shd w:val="clear" w:color="auto" w:fill="FFFFFF"/>
        </w:rPr>
        <w:t xml:space="preserve"> can be obtained from the ICO. </w:t>
      </w:r>
    </w:p>
    <w:p w14:paraId="63735E1E" w14:textId="77777777" w:rsidR="00142937" w:rsidRPr="000274FE" w:rsidRDefault="00142937" w:rsidP="00871C16">
      <w:pPr>
        <w:pStyle w:val="Section"/>
        <w:ind w:firstLine="720"/>
        <w:rPr>
          <w:sz w:val="24"/>
        </w:rPr>
      </w:pPr>
      <w:r w:rsidRPr="000274FE">
        <w:rPr>
          <w:sz w:val="24"/>
        </w:rPr>
        <w:t>SECTION 41 – CONFIDENTIALITY</w:t>
      </w:r>
    </w:p>
    <w:p w14:paraId="5BEE893A" w14:textId="32F280E7" w:rsidR="00142937" w:rsidRPr="000274FE" w:rsidRDefault="00142937" w:rsidP="00142937">
      <w:pPr>
        <w:pStyle w:val="Heading2"/>
        <w:rPr>
          <w:rFonts w:cstheme="minorHAnsi"/>
          <w:sz w:val="24"/>
          <w:szCs w:val="24"/>
          <w:shd w:val="clear" w:color="auto" w:fill="FFFFFF"/>
        </w:rPr>
      </w:pPr>
      <w:r w:rsidRPr="000274FE">
        <w:rPr>
          <w:rFonts w:cstheme="minorHAnsi"/>
          <w:color w:val="000000"/>
          <w:sz w:val="24"/>
          <w:szCs w:val="24"/>
          <w:shd w:val="clear" w:color="auto" w:fill="FFFFFF"/>
        </w:rPr>
        <w:t>This exemption applies if the following two conditions are satisfied:</w:t>
      </w:r>
    </w:p>
    <w:p w14:paraId="69135839" w14:textId="3B1B8035" w:rsidR="00142937" w:rsidRPr="000274FE" w:rsidRDefault="00142937" w:rsidP="000864F9">
      <w:pPr>
        <w:pStyle w:val="ListBullet3"/>
        <w:rPr>
          <w:sz w:val="24"/>
          <w:szCs w:val="24"/>
        </w:rPr>
      </w:pPr>
      <w:r w:rsidRPr="000274FE">
        <w:rPr>
          <w:sz w:val="24"/>
          <w:szCs w:val="24"/>
        </w:rPr>
        <w:t xml:space="preserve">the information </w:t>
      </w:r>
      <w:r w:rsidR="00532D4A" w:rsidRPr="000274FE">
        <w:rPr>
          <w:sz w:val="24"/>
          <w:szCs w:val="24"/>
        </w:rPr>
        <w:t xml:space="preserve">is received </w:t>
      </w:r>
      <w:r w:rsidRPr="000274FE">
        <w:rPr>
          <w:sz w:val="24"/>
          <w:szCs w:val="24"/>
        </w:rPr>
        <w:t>from someone else; and</w:t>
      </w:r>
    </w:p>
    <w:p w14:paraId="262C80F7" w14:textId="19963D10" w:rsidR="00142937" w:rsidRPr="000274FE" w:rsidRDefault="00532D4A" w:rsidP="000864F9">
      <w:pPr>
        <w:pStyle w:val="ListBullet3"/>
        <w:rPr>
          <w:sz w:val="24"/>
          <w:szCs w:val="24"/>
        </w:rPr>
      </w:pPr>
      <w:r w:rsidRPr="000274FE">
        <w:rPr>
          <w:sz w:val="24"/>
          <w:szCs w:val="24"/>
        </w:rPr>
        <w:t>c</w:t>
      </w:r>
      <w:r w:rsidR="00142937" w:rsidRPr="000274FE">
        <w:rPr>
          <w:sz w:val="24"/>
          <w:szCs w:val="24"/>
        </w:rPr>
        <w:t>omplying with the request would be a breach of confidence that is actionable</w:t>
      </w:r>
      <w:r w:rsidRPr="000274FE">
        <w:rPr>
          <w:sz w:val="24"/>
          <w:szCs w:val="24"/>
        </w:rPr>
        <w:t>.</w:t>
      </w:r>
    </w:p>
    <w:p w14:paraId="145C39AF" w14:textId="05E76F27" w:rsidR="00142937" w:rsidRPr="000274FE" w:rsidRDefault="00142937" w:rsidP="00142937">
      <w:pPr>
        <w:pStyle w:val="Heading2"/>
        <w:rPr>
          <w:rFonts w:cstheme="minorHAnsi"/>
          <w:sz w:val="24"/>
          <w:szCs w:val="24"/>
          <w:shd w:val="clear" w:color="auto" w:fill="FFFFFF"/>
        </w:rPr>
      </w:pPr>
      <w:r w:rsidRPr="000274FE">
        <w:rPr>
          <w:rFonts w:cstheme="minorHAnsi"/>
          <w:sz w:val="24"/>
          <w:szCs w:val="24"/>
          <w:shd w:val="clear" w:color="auto" w:fill="FFFFFF"/>
        </w:rPr>
        <w:t xml:space="preserve">The Practice cannot apply this exemption to information generated within </w:t>
      </w:r>
      <w:r w:rsidR="00532D4A" w:rsidRPr="000274FE">
        <w:rPr>
          <w:rFonts w:cstheme="minorHAnsi"/>
          <w:sz w:val="24"/>
          <w:szCs w:val="24"/>
          <w:shd w:val="clear" w:color="auto" w:fill="FFFFFF"/>
        </w:rPr>
        <w:t>the Practice</w:t>
      </w:r>
      <w:r w:rsidRPr="000274FE">
        <w:rPr>
          <w:rFonts w:cstheme="minorHAnsi"/>
          <w:sz w:val="24"/>
          <w:szCs w:val="24"/>
          <w:shd w:val="clear" w:color="auto" w:fill="FFFFFF"/>
        </w:rPr>
        <w:t xml:space="preserve">, even if it is marked “confidential”. </w:t>
      </w:r>
      <w:r w:rsidR="00532D4A" w:rsidRPr="000274FE">
        <w:rPr>
          <w:rFonts w:cstheme="minorHAnsi"/>
          <w:sz w:val="24"/>
          <w:szCs w:val="24"/>
          <w:shd w:val="clear" w:color="auto" w:fill="FFFFFF"/>
        </w:rPr>
        <w:t xml:space="preserve"> </w:t>
      </w:r>
      <w:r w:rsidRPr="000274FE">
        <w:rPr>
          <w:rFonts w:cstheme="minorHAnsi"/>
          <w:sz w:val="24"/>
          <w:szCs w:val="24"/>
          <w:shd w:val="clear" w:color="auto" w:fill="FFFFFF"/>
        </w:rPr>
        <w:t xml:space="preserve">However, it can be claimed for information originally received from someone else but then included </w:t>
      </w:r>
      <w:r w:rsidR="00532D4A" w:rsidRPr="000274FE">
        <w:rPr>
          <w:rFonts w:cstheme="minorHAnsi"/>
          <w:sz w:val="24"/>
          <w:szCs w:val="24"/>
          <w:shd w:val="clear" w:color="auto" w:fill="FFFFFF"/>
        </w:rPr>
        <w:t>within Practice</w:t>
      </w:r>
      <w:r w:rsidRPr="000274FE">
        <w:rPr>
          <w:rFonts w:cstheme="minorHAnsi"/>
          <w:sz w:val="24"/>
          <w:szCs w:val="24"/>
          <w:shd w:val="clear" w:color="auto" w:fill="FFFFFF"/>
        </w:rPr>
        <w:t xml:space="preserve"> records.</w:t>
      </w:r>
    </w:p>
    <w:p w14:paraId="311D99A9" w14:textId="77777777" w:rsidR="00142937" w:rsidRPr="000274FE" w:rsidRDefault="00142937" w:rsidP="00142937">
      <w:pPr>
        <w:pStyle w:val="Heading2"/>
        <w:rPr>
          <w:rFonts w:cstheme="minorHAnsi"/>
          <w:sz w:val="24"/>
          <w:szCs w:val="24"/>
        </w:rPr>
      </w:pPr>
      <w:r w:rsidRPr="000274FE">
        <w:rPr>
          <w:rFonts w:cstheme="minorHAnsi"/>
          <w:color w:val="000000"/>
          <w:sz w:val="24"/>
          <w:szCs w:val="24"/>
          <w:shd w:val="clear" w:color="auto" w:fill="FFFFFF"/>
        </w:rPr>
        <w:t xml:space="preserve">To rely on this exemption, the legal principles of the common law test of confidence must be applied, in accordance with the Confidentiality NHS Code of Practice. </w:t>
      </w:r>
    </w:p>
    <w:p w14:paraId="579CACE1" w14:textId="499762D8" w:rsidR="00142937" w:rsidRPr="000274FE" w:rsidRDefault="00142937" w:rsidP="00142937">
      <w:pPr>
        <w:pStyle w:val="Heading2"/>
        <w:rPr>
          <w:rFonts w:cstheme="minorHAnsi"/>
          <w:sz w:val="24"/>
          <w:szCs w:val="24"/>
        </w:rPr>
      </w:pPr>
      <w:r w:rsidRPr="000274FE">
        <w:rPr>
          <w:rFonts w:cstheme="minorHAnsi"/>
          <w:color w:val="000000"/>
          <w:sz w:val="24"/>
          <w:szCs w:val="24"/>
          <w:shd w:val="clear" w:color="auto" w:fill="FFFFFF"/>
        </w:rPr>
        <w:t>The</w:t>
      </w:r>
      <w:r w:rsidR="00532D4A"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UK</w:t>
      </w:r>
      <w:r w:rsidR="00532D4A"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GDPR and the</w:t>
      </w:r>
      <w:r w:rsidR="00532D4A"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DPA</w:t>
      </w:r>
      <w:r w:rsidR="00532D4A"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2018</w:t>
      </w:r>
      <w:r w:rsidR="00532D4A"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do not cover information about people who have died, so a section 40 exemption </w:t>
      </w:r>
      <w:r w:rsidR="00532D4A" w:rsidRPr="000274FE">
        <w:rPr>
          <w:rFonts w:cstheme="minorHAnsi"/>
          <w:color w:val="000000"/>
          <w:sz w:val="24"/>
          <w:szCs w:val="24"/>
          <w:shd w:val="clear" w:color="auto" w:fill="FFFFFF"/>
        </w:rPr>
        <w:t xml:space="preserve">cannot be relied on </w:t>
      </w:r>
      <w:r w:rsidRPr="000274FE">
        <w:rPr>
          <w:rFonts w:cstheme="minorHAnsi"/>
          <w:color w:val="000000"/>
          <w:sz w:val="24"/>
          <w:szCs w:val="24"/>
          <w:shd w:val="clear" w:color="auto" w:fill="FFFFFF"/>
        </w:rPr>
        <w:t xml:space="preserve">to withhold deceased information. </w:t>
      </w:r>
      <w:r w:rsidR="00532D4A"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Where a request for personal information about someone who has died</w:t>
      </w:r>
      <w:r w:rsidR="009E5B19" w:rsidRPr="000274FE">
        <w:rPr>
          <w:rFonts w:cstheme="minorHAnsi"/>
          <w:color w:val="000000"/>
          <w:sz w:val="24"/>
          <w:szCs w:val="24"/>
          <w:shd w:val="clear" w:color="auto" w:fill="FFFFFF"/>
        </w:rPr>
        <w:t xml:space="preserve"> is received</w:t>
      </w:r>
      <w:r w:rsidRPr="000274FE">
        <w:rPr>
          <w:rFonts w:cstheme="minorHAnsi"/>
          <w:color w:val="000000"/>
          <w:sz w:val="24"/>
          <w:szCs w:val="24"/>
          <w:shd w:val="clear" w:color="auto" w:fill="FFFFFF"/>
        </w:rPr>
        <w:t xml:space="preserve">, the most appropriate exemption is likely to be section 41. </w:t>
      </w:r>
      <w:r w:rsidR="00532D4A"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This is because the information would originally have been provided to a healthcare practitioner or social worker in confidence, and the duty of confidentiality extends beyond death.</w:t>
      </w:r>
    </w:p>
    <w:p w14:paraId="30A10E54" w14:textId="40DEA940" w:rsidR="00142937" w:rsidRPr="000274FE" w:rsidRDefault="00142937" w:rsidP="00142937">
      <w:pPr>
        <w:pStyle w:val="Heading2"/>
        <w:rPr>
          <w:rFonts w:cstheme="minorHAnsi"/>
          <w:sz w:val="24"/>
          <w:szCs w:val="24"/>
        </w:rPr>
      </w:pPr>
      <w:r w:rsidRPr="000274FE">
        <w:rPr>
          <w:rFonts w:cstheme="minorHAnsi"/>
          <w:color w:val="000000"/>
          <w:sz w:val="24"/>
          <w:szCs w:val="24"/>
          <w:shd w:val="clear" w:color="auto" w:fill="FFFFFF"/>
        </w:rPr>
        <w:t>Information about people who have died is likely to be covered by an exemption, because the Freedom of Information Act is about disclosure ‘to the world’</w:t>
      </w:r>
      <w:r w:rsidR="00532D4A" w:rsidRPr="000274FE">
        <w:rPr>
          <w:rFonts w:cstheme="minorHAnsi"/>
          <w:color w:val="000000"/>
          <w:sz w:val="24"/>
          <w:szCs w:val="24"/>
          <w:shd w:val="clear" w:color="auto" w:fill="FFFFFF"/>
        </w:rPr>
        <w:t>,</w:t>
      </w:r>
      <w:r w:rsidRPr="000274FE">
        <w:rPr>
          <w:rFonts w:cstheme="minorHAnsi"/>
          <w:color w:val="000000"/>
          <w:sz w:val="24"/>
          <w:szCs w:val="24"/>
          <w:shd w:val="clear" w:color="auto" w:fill="FFFFFF"/>
        </w:rPr>
        <w:t xml:space="preserve"> and it would often be inappropriate to make this type of information public. </w:t>
      </w:r>
      <w:r w:rsidR="00532D4A"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However, some requesters may have rights that allow them personally to access the information. </w:t>
      </w:r>
      <w:r w:rsidR="00532D4A"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For instance, the Access to Health Records Act 1990 gives the personal representative of the deceased (e.g. the executor of their will) the right to access their medical records. </w:t>
      </w:r>
      <w:r w:rsidR="00532D4A"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If the Practice receive</w:t>
      </w:r>
      <w:r w:rsidR="00532D4A" w:rsidRPr="000274FE">
        <w:rPr>
          <w:rFonts w:cstheme="minorHAnsi"/>
          <w:color w:val="000000"/>
          <w:sz w:val="24"/>
          <w:szCs w:val="24"/>
          <w:shd w:val="clear" w:color="auto" w:fill="FFFFFF"/>
        </w:rPr>
        <w:t>s</w:t>
      </w:r>
      <w:r w:rsidRPr="000274FE">
        <w:rPr>
          <w:rFonts w:cstheme="minorHAnsi"/>
          <w:color w:val="000000"/>
          <w:sz w:val="24"/>
          <w:szCs w:val="24"/>
          <w:shd w:val="clear" w:color="auto" w:fill="FFFFFF"/>
        </w:rPr>
        <w:t xml:space="preserve"> a request from someone who has the right to access the records in this way, the request </w:t>
      </w:r>
      <w:r w:rsidR="00532D4A" w:rsidRPr="000274FE">
        <w:rPr>
          <w:rFonts w:cstheme="minorHAnsi"/>
          <w:color w:val="000000"/>
          <w:sz w:val="24"/>
          <w:szCs w:val="24"/>
          <w:shd w:val="clear" w:color="auto" w:fill="FFFFFF"/>
        </w:rPr>
        <w:t xml:space="preserve">can be refused </w:t>
      </w:r>
      <w:r w:rsidRPr="000274FE">
        <w:rPr>
          <w:rFonts w:cstheme="minorHAnsi"/>
          <w:color w:val="000000"/>
          <w:sz w:val="24"/>
          <w:szCs w:val="24"/>
          <w:shd w:val="clear" w:color="auto" w:fill="FFFFFF"/>
        </w:rPr>
        <w:t>under section 21 (reasonably accessible) and handle</w:t>
      </w:r>
      <w:r w:rsidR="00532D4A" w:rsidRPr="000274FE">
        <w:rPr>
          <w:rFonts w:cstheme="minorHAnsi"/>
          <w:color w:val="000000"/>
          <w:sz w:val="24"/>
          <w:szCs w:val="24"/>
          <w:shd w:val="clear" w:color="auto" w:fill="FFFFFF"/>
        </w:rPr>
        <w:t>d</w:t>
      </w:r>
      <w:r w:rsidRPr="000274FE">
        <w:rPr>
          <w:rFonts w:cstheme="minorHAnsi"/>
          <w:color w:val="000000"/>
          <w:sz w:val="24"/>
          <w:szCs w:val="24"/>
          <w:shd w:val="clear" w:color="auto" w:fill="FFFFFF"/>
        </w:rPr>
        <w:t xml:space="preserve"> under the Access to Health Records Act.</w:t>
      </w:r>
    </w:p>
    <w:p w14:paraId="2DAF7725" w14:textId="5899367C" w:rsidR="00142937" w:rsidRPr="000274FE" w:rsidRDefault="00142937" w:rsidP="00142937">
      <w:pPr>
        <w:pStyle w:val="Heading2"/>
        <w:rPr>
          <w:rFonts w:cstheme="minorHAnsi"/>
          <w:sz w:val="24"/>
          <w:szCs w:val="24"/>
        </w:rPr>
      </w:pPr>
      <w:r w:rsidRPr="000274FE">
        <w:rPr>
          <w:rFonts w:cstheme="minorHAnsi"/>
          <w:color w:val="000000"/>
          <w:sz w:val="24"/>
          <w:szCs w:val="24"/>
          <w:shd w:val="clear" w:color="auto" w:fill="FFFFFF"/>
        </w:rPr>
        <w:lastRenderedPageBreak/>
        <w:t>This exemption is absolute, so the public interest test</w:t>
      </w:r>
      <w:r w:rsidR="00532D4A" w:rsidRPr="000274FE">
        <w:rPr>
          <w:rFonts w:cstheme="minorHAnsi"/>
          <w:color w:val="000000"/>
          <w:sz w:val="24"/>
          <w:szCs w:val="24"/>
          <w:shd w:val="clear" w:color="auto" w:fill="FFFFFF"/>
        </w:rPr>
        <w:t xml:space="preserve"> does not need to be applied</w:t>
      </w:r>
      <w:r w:rsidRPr="000274FE">
        <w:rPr>
          <w:rFonts w:cstheme="minorHAnsi"/>
          <w:color w:val="000000"/>
          <w:sz w:val="24"/>
          <w:szCs w:val="24"/>
          <w:shd w:val="clear" w:color="auto" w:fill="FFFFFF"/>
        </w:rPr>
        <w:t>.</w:t>
      </w:r>
      <w:r w:rsidR="00532D4A"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 However, the Practice will still need to consider the public interest in disclosure, because the law of confidence recognises that a breach of confidence may not be actionable when there is an overriding public interest in disclosure. </w:t>
      </w:r>
      <w:r w:rsidR="00532D4A"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More information on </w:t>
      </w:r>
      <w:hyperlink r:id="rId42" w:history="1">
        <w:r w:rsidRPr="000274FE">
          <w:rPr>
            <w:rFonts w:cstheme="minorHAnsi"/>
            <w:sz w:val="24"/>
            <w:szCs w:val="24"/>
            <w:shd w:val="clear" w:color="auto" w:fill="FFFFFF"/>
          </w:rPr>
          <w:t>section 41</w:t>
        </w:r>
      </w:hyperlink>
      <w:r w:rsidRPr="000274FE">
        <w:rPr>
          <w:rFonts w:cstheme="minorHAnsi"/>
          <w:color w:val="000000"/>
          <w:sz w:val="24"/>
          <w:szCs w:val="24"/>
          <w:shd w:val="clear" w:color="auto" w:fill="FFFFFF"/>
        </w:rPr>
        <w:t xml:space="preserve"> can be obtained from the ICO. </w:t>
      </w:r>
    </w:p>
    <w:p w14:paraId="3F7A9CFC" w14:textId="77777777" w:rsidR="00142937" w:rsidRPr="000274FE" w:rsidRDefault="00142937" w:rsidP="00532D4A">
      <w:pPr>
        <w:pStyle w:val="Section"/>
        <w:ind w:firstLine="720"/>
        <w:rPr>
          <w:sz w:val="24"/>
        </w:rPr>
      </w:pPr>
      <w:r w:rsidRPr="000274FE">
        <w:rPr>
          <w:sz w:val="24"/>
        </w:rPr>
        <w:t xml:space="preserve">SECTION 42 - LEGAL PROFESSIONAL PRIVILEDGE </w:t>
      </w:r>
    </w:p>
    <w:p w14:paraId="5DE54184" w14:textId="589FAE0F" w:rsidR="00142937" w:rsidRPr="000274FE" w:rsidRDefault="00142937" w:rsidP="00142937">
      <w:pPr>
        <w:pStyle w:val="Heading2"/>
        <w:rPr>
          <w:rFonts w:cstheme="minorHAnsi"/>
          <w:sz w:val="24"/>
          <w:szCs w:val="24"/>
          <w:shd w:val="clear" w:color="auto" w:fill="FFFFFF"/>
        </w:rPr>
      </w:pPr>
      <w:r w:rsidRPr="000274FE">
        <w:rPr>
          <w:rFonts w:cstheme="minorHAnsi"/>
          <w:sz w:val="24"/>
          <w:szCs w:val="24"/>
          <w:shd w:val="clear" w:color="auto" w:fill="FFFFFF"/>
        </w:rPr>
        <w:t>This applies whenever complying with a request would reveal information that is subject to ‘legal professional privilege’</w:t>
      </w:r>
      <w:r w:rsidR="00532D4A" w:rsidRPr="000274FE">
        <w:rPr>
          <w:rFonts w:cstheme="minorHAnsi"/>
          <w:sz w:val="24"/>
          <w:szCs w:val="24"/>
          <w:shd w:val="clear" w:color="auto" w:fill="FFFFFF"/>
        </w:rPr>
        <w:t xml:space="preserve"> </w:t>
      </w:r>
      <w:r w:rsidRPr="000274FE">
        <w:rPr>
          <w:rFonts w:cstheme="minorHAnsi"/>
          <w:sz w:val="24"/>
          <w:szCs w:val="24"/>
          <w:shd w:val="clear" w:color="auto" w:fill="FFFFFF"/>
        </w:rPr>
        <w:t xml:space="preserve">and protects information shared between a client and their professional legal advisor (solicitor or barrister, in-house lawyers) for the purposes of obtaining legal advice or for ongoing or proposed legal action. </w:t>
      </w:r>
      <w:r w:rsidR="00532D4A" w:rsidRPr="000274FE">
        <w:rPr>
          <w:rFonts w:cstheme="minorHAnsi"/>
          <w:sz w:val="24"/>
          <w:szCs w:val="24"/>
          <w:shd w:val="clear" w:color="auto" w:fill="FFFFFF"/>
        </w:rPr>
        <w:t xml:space="preserve"> </w:t>
      </w:r>
      <w:r w:rsidRPr="000274FE">
        <w:rPr>
          <w:rFonts w:cstheme="minorHAnsi"/>
          <w:sz w:val="24"/>
          <w:szCs w:val="24"/>
          <w:shd w:val="clear" w:color="auto" w:fill="FFFFFF"/>
        </w:rPr>
        <w:t xml:space="preserve">These rules exist to ensure people are confident they can be </w:t>
      </w:r>
      <w:r w:rsidR="009E5B19" w:rsidRPr="000274FE">
        <w:rPr>
          <w:rFonts w:cstheme="minorHAnsi"/>
          <w:sz w:val="24"/>
          <w:szCs w:val="24"/>
          <w:shd w:val="clear" w:color="auto" w:fill="FFFFFF"/>
        </w:rPr>
        <w:t>open and honest</w:t>
      </w:r>
      <w:r w:rsidRPr="000274FE">
        <w:rPr>
          <w:rFonts w:cstheme="minorHAnsi"/>
          <w:sz w:val="24"/>
          <w:szCs w:val="24"/>
          <w:shd w:val="clear" w:color="auto" w:fill="FFFFFF"/>
        </w:rPr>
        <w:t xml:space="preserve"> with their legal adviser when obtaining legal advice, without fear of disclosure.</w:t>
      </w:r>
    </w:p>
    <w:p w14:paraId="3F0F5A37" w14:textId="16D65C90" w:rsidR="00142937" w:rsidRPr="000274FE" w:rsidRDefault="00142937" w:rsidP="00142937">
      <w:pPr>
        <w:pStyle w:val="Heading2"/>
        <w:rPr>
          <w:rFonts w:cstheme="minorHAnsi"/>
          <w:sz w:val="24"/>
          <w:szCs w:val="24"/>
        </w:rPr>
      </w:pPr>
      <w:r w:rsidRPr="000274FE">
        <w:rPr>
          <w:rFonts w:cstheme="minorHAnsi"/>
          <w:color w:val="000000"/>
          <w:sz w:val="24"/>
          <w:szCs w:val="24"/>
          <w:shd w:val="clear" w:color="auto" w:fill="FFFFFF"/>
        </w:rPr>
        <w:t xml:space="preserve">This exemption is qualified by the public interest test. </w:t>
      </w:r>
      <w:r w:rsidR="00532D4A"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More information on </w:t>
      </w:r>
      <w:hyperlink r:id="rId43" w:history="1">
        <w:r w:rsidRPr="000274FE">
          <w:rPr>
            <w:rFonts w:cstheme="minorHAnsi"/>
            <w:sz w:val="24"/>
            <w:szCs w:val="24"/>
            <w:shd w:val="clear" w:color="auto" w:fill="FFFFFF"/>
          </w:rPr>
          <w:t>section 42</w:t>
        </w:r>
      </w:hyperlink>
      <w:r w:rsidRPr="000274FE">
        <w:rPr>
          <w:rFonts w:cstheme="minorHAnsi"/>
          <w:color w:val="000000"/>
          <w:sz w:val="24"/>
          <w:szCs w:val="24"/>
          <w:shd w:val="clear" w:color="auto" w:fill="FFFFFF"/>
        </w:rPr>
        <w:t xml:space="preserve"> can be obtained from the ICO. </w:t>
      </w:r>
    </w:p>
    <w:p w14:paraId="4B04D416" w14:textId="77777777" w:rsidR="00142937" w:rsidRPr="000274FE" w:rsidRDefault="00142937" w:rsidP="00532D4A">
      <w:pPr>
        <w:pStyle w:val="Section"/>
        <w:ind w:firstLine="720"/>
        <w:rPr>
          <w:sz w:val="24"/>
          <w:shd w:val="clear" w:color="auto" w:fill="FFFFFF"/>
        </w:rPr>
      </w:pPr>
      <w:r w:rsidRPr="000274FE">
        <w:rPr>
          <w:sz w:val="24"/>
          <w:shd w:val="clear" w:color="auto" w:fill="FFFFFF"/>
        </w:rPr>
        <w:t>SECTION 43 – TRADE SECRETS AND PREJUDICE TO COMMERICAL INTERESTS</w:t>
      </w:r>
    </w:p>
    <w:p w14:paraId="13491D3F" w14:textId="77777777" w:rsidR="00142937" w:rsidRPr="000274FE" w:rsidRDefault="00142937" w:rsidP="00142937">
      <w:pPr>
        <w:pStyle w:val="Heading2"/>
        <w:rPr>
          <w:rFonts w:cstheme="minorHAnsi"/>
          <w:sz w:val="24"/>
          <w:szCs w:val="24"/>
          <w:shd w:val="clear" w:color="auto" w:fill="FFFFFF"/>
        </w:rPr>
      </w:pPr>
      <w:r w:rsidRPr="000274FE">
        <w:rPr>
          <w:rFonts w:cstheme="minorHAnsi"/>
          <w:sz w:val="24"/>
          <w:szCs w:val="24"/>
          <w:shd w:val="clear" w:color="auto" w:fill="FFFFFF"/>
        </w:rPr>
        <w:t xml:space="preserve">This exemption covers two situations: </w:t>
      </w:r>
    </w:p>
    <w:p w14:paraId="76F3B7C6" w14:textId="0A9F46F1" w:rsidR="00142937" w:rsidRPr="000274FE" w:rsidRDefault="00532D4A" w:rsidP="000864F9">
      <w:pPr>
        <w:pStyle w:val="ListBullet3"/>
        <w:rPr>
          <w:sz w:val="24"/>
          <w:szCs w:val="24"/>
        </w:rPr>
      </w:pPr>
      <w:r w:rsidRPr="000274FE">
        <w:rPr>
          <w:sz w:val="24"/>
          <w:szCs w:val="24"/>
        </w:rPr>
        <w:t>w</w:t>
      </w:r>
      <w:r w:rsidR="00142937" w:rsidRPr="000274FE">
        <w:rPr>
          <w:sz w:val="24"/>
          <w:szCs w:val="24"/>
        </w:rPr>
        <w:t xml:space="preserve">hen information </w:t>
      </w:r>
      <w:r w:rsidR="005422D2" w:rsidRPr="000274FE">
        <w:rPr>
          <w:sz w:val="24"/>
          <w:szCs w:val="24"/>
        </w:rPr>
        <w:t>constitutes</w:t>
      </w:r>
      <w:r w:rsidR="00142937" w:rsidRPr="000274FE">
        <w:rPr>
          <w:sz w:val="24"/>
          <w:szCs w:val="24"/>
        </w:rPr>
        <w:t xml:space="preserve"> a trade secret (such as the recipes for the branded product</w:t>
      </w:r>
      <w:proofErr w:type="gramStart"/>
      <w:r w:rsidR="00142937" w:rsidRPr="000274FE">
        <w:rPr>
          <w:sz w:val="24"/>
          <w:szCs w:val="24"/>
        </w:rPr>
        <w:t>)</w:t>
      </w:r>
      <w:r w:rsidRPr="000274FE">
        <w:rPr>
          <w:sz w:val="24"/>
          <w:szCs w:val="24"/>
        </w:rPr>
        <w:t>;</w:t>
      </w:r>
      <w:proofErr w:type="gramEnd"/>
    </w:p>
    <w:p w14:paraId="7EDE287A" w14:textId="7153720A" w:rsidR="00142937" w:rsidRPr="000274FE" w:rsidRDefault="00532D4A" w:rsidP="000864F9">
      <w:pPr>
        <w:pStyle w:val="ListBullet3"/>
        <w:rPr>
          <w:sz w:val="24"/>
          <w:szCs w:val="24"/>
        </w:rPr>
      </w:pPr>
      <w:r w:rsidRPr="000274FE">
        <w:rPr>
          <w:sz w:val="24"/>
          <w:szCs w:val="24"/>
        </w:rPr>
        <w:t>w</w:t>
      </w:r>
      <w:r w:rsidR="00142937" w:rsidRPr="000274FE">
        <w:rPr>
          <w:sz w:val="24"/>
          <w:szCs w:val="24"/>
        </w:rPr>
        <w:t>hen complying with the request would prejudice or would be likely to prejudice someone’s commercial interests</w:t>
      </w:r>
      <w:r w:rsidRPr="000274FE">
        <w:rPr>
          <w:sz w:val="24"/>
          <w:szCs w:val="24"/>
        </w:rPr>
        <w:t>.</w:t>
      </w:r>
    </w:p>
    <w:p w14:paraId="2BC3D2C6" w14:textId="294ADF59" w:rsidR="00142937" w:rsidRPr="000274FE" w:rsidRDefault="00142937" w:rsidP="00142937">
      <w:pPr>
        <w:pStyle w:val="Heading2"/>
        <w:rPr>
          <w:rFonts w:cstheme="minorHAnsi"/>
          <w:sz w:val="24"/>
          <w:szCs w:val="24"/>
        </w:rPr>
      </w:pPr>
      <w:r w:rsidRPr="000274FE">
        <w:rPr>
          <w:rFonts w:cstheme="minorHAnsi"/>
          <w:sz w:val="24"/>
          <w:szCs w:val="24"/>
        </w:rPr>
        <w:t xml:space="preserve">This exemption is qualified by the public interest test. </w:t>
      </w:r>
      <w:r w:rsidR="00532D4A" w:rsidRPr="000274FE">
        <w:rPr>
          <w:rFonts w:cstheme="minorHAnsi"/>
          <w:sz w:val="24"/>
          <w:szCs w:val="24"/>
        </w:rPr>
        <w:t xml:space="preserve"> </w:t>
      </w:r>
      <w:r w:rsidRPr="000274FE">
        <w:rPr>
          <w:rFonts w:cstheme="minorHAnsi"/>
          <w:sz w:val="24"/>
          <w:szCs w:val="24"/>
        </w:rPr>
        <w:t xml:space="preserve">More information on </w:t>
      </w:r>
      <w:hyperlink r:id="rId44" w:history="1">
        <w:r w:rsidRPr="000274FE">
          <w:rPr>
            <w:rFonts w:cstheme="minorHAnsi"/>
            <w:sz w:val="24"/>
            <w:szCs w:val="24"/>
          </w:rPr>
          <w:t>section 43</w:t>
        </w:r>
      </w:hyperlink>
      <w:r w:rsidRPr="000274FE">
        <w:rPr>
          <w:rFonts w:cstheme="minorHAnsi"/>
          <w:sz w:val="24"/>
          <w:szCs w:val="24"/>
        </w:rPr>
        <w:t xml:space="preserve"> can be obtained from the ICO. </w:t>
      </w:r>
    </w:p>
    <w:p w14:paraId="1279B28D" w14:textId="77777777" w:rsidR="00142937" w:rsidRPr="000274FE" w:rsidRDefault="00142937" w:rsidP="00532D4A">
      <w:pPr>
        <w:pStyle w:val="Section"/>
        <w:ind w:firstLine="720"/>
        <w:rPr>
          <w:sz w:val="24"/>
        </w:rPr>
      </w:pPr>
      <w:r w:rsidRPr="000274FE">
        <w:rPr>
          <w:sz w:val="24"/>
        </w:rPr>
        <w:t>SECTION 44 – PROHIBITIONS ON DISCLOSURE</w:t>
      </w:r>
    </w:p>
    <w:p w14:paraId="61C37CAC" w14:textId="4F97D897" w:rsidR="00142937" w:rsidRPr="000274FE" w:rsidRDefault="00142937" w:rsidP="00142937">
      <w:pPr>
        <w:pStyle w:val="Heading2"/>
        <w:rPr>
          <w:rFonts w:cstheme="minorHAnsi"/>
          <w:sz w:val="24"/>
          <w:szCs w:val="24"/>
        </w:rPr>
      </w:pPr>
      <w:r w:rsidRPr="000274FE">
        <w:rPr>
          <w:rFonts w:cstheme="minorHAnsi"/>
          <w:sz w:val="24"/>
          <w:szCs w:val="24"/>
        </w:rPr>
        <w:t xml:space="preserve">This exemption can be </w:t>
      </w:r>
      <w:r w:rsidR="005422D2" w:rsidRPr="000274FE">
        <w:rPr>
          <w:rFonts w:cstheme="minorHAnsi"/>
          <w:sz w:val="24"/>
          <w:szCs w:val="24"/>
        </w:rPr>
        <w:t>applied</w:t>
      </w:r>
      <w:r w:rsidRPr="000274FE">
        <w:rPr>
          <w:rFonts w:cstheme="minorHAnsi"/>
          <w:sz w:val="24"/>
          <w:szCs w:val="24"/>
        </w:rPr>
        <w:t xml:space="preserve"> when refusing a request for information</w:t>
      </w:r>
      <w:r w:rsidR="00532D4A" w:rsidRPr="000274FE">
        <w:rPr>
          <w:rFonts w:cstheme="minorHAnsi"/>
          <w:sz w:val="24"/>
          <w:szCs w:val="24"/>
        </w:rPr>
        <w:t xml:space="preserve"> that</w:t>
      </w:r>
      <w:r w:rsidRPr="000274FE">
        <w:rPr>
          <w:rFonts w:cstheme="minorHAnsi"/>
          <w:sz w:val="24"/>
          <w:szCs w:val="24"/>
        </w:rPr>
        <w:t>:</w:t>
      </w:r>
    </w:p>
    <w:p w14:paraId="2392CE31" w14:textId="7AC094E1" w:rsidR="00142937" w:rsidRPr="000274FE" w:rsidRDefault="00532D4A" w:rsidP="000864F9">
      <w:pPr>
        <w:pStyle w:val="ListBullet3"/>
        <w:rPr>
          <w:sz w:val="24"/>
          <w:szCs w:val="24"/>
        </w:rPr>
      </w:pPr>
      <w:r w:rsidRPr="000274FE">
        <w:rPr>
          <w:sz w:val="24"/>
          <w:szCs w:val="24"/>
        </w:rPr>
        <w:t>i</w:t>
      </w:r>
      <w:r w:rsidR="00142937" w:rsidRPr="000274FE">
        <w:rPr>
          <w:sz w:val="24"/>
          <w:szCs w:val="24"/>
        </w:rPr>
        <w:t xml:space="preserve">s not allowed under </w:t>
      </w:r>
      <w:proofErr w:type="gramStart"/>
      <w:r w:rsidR="00142937" w:rsidRPr="000274FE">
        <w:rPr>
          <w:sz w:val="24"/>
          <w:szCs w:val="24"/>
        </w:rPr>
        <w:t>law;</w:t>
      </w:r>
      <w:proofErr w:type="gramEnd"/>
      <w:r w:rsidR="00142937" w:rsidRPr="000274FE">
        <w:rPr>
          <w:sz w:val="24"/>
          <w:szCs w:val="24"/>
        </w:rPr>
        <w:t xml:space="preserve"> </w:t>
      </w:r>
    </w:p>
    <w:p w14:paraId="51FD035E" w14:textId="6164A568" w:rsidR="00142937" w:rsidRPr="000274FE" w:rsidRDefault="00532D4A" w:rsidP="000864F9">
      <w:pPr>
        <w:pStyle w:val="ListBullet3"/>
        <w:rPr>
          <w:sz w:val="24"/>
          <w:szCs w:val="24"/>
        </w:rPr>
      </w:pPr>
      <w:r w:rsidRPr="000274FE">
        <w:rPr>
          <w:sz w:val="24"/>
          <w:szCs w:val="24"/>
        </w:rPr>
        <w:t>w</w:t>
      </w:r>
      <w:r w:rsidR="00142937" w:rsidRPr="000274FE">
        <w:rPr>
          <w:sz w:val="24"/>
          <w:szCs w:val="24"/>
        </w:rPr>
        <w:t>ould be contrary to a retained EU obligation; or</w:t>
      </w:r>
    </w:p>
    <w:p w14:paraId="7277179E" w14:textId="390FE2DD" w:rsidR="00142937" w:rsidRPr="000274FE" w:rsidRDefault="00532D4A" w:rsidP="000864F9">
      <w:pPr>
        <w:pStyle w:val="ListBullet3"/>
        <w:rPr>
          <w:sz w:val="24"/>
          <w:szCs w:val="24"/>
        </w:rPr>
      </w:pPr>
      <w:r w:rsidRPr="000274FE">
        <w:rPr>
          <w:sz w:val="24"/>
          <w:szCs w:val="24"/>
        </w:rPr>
        <w:t>w</w:t>
      </w:r>
      <w:r w:rsidR="00142937" w:rsidRPr="000274FE">
        <w:rPr>
          <w:sz w:val="24"/>
          <w:szCs w:val="24"/>
        </w:rPr>
        <w:t>ould constitute contempt of court</w:t>
      </w:r>
      <w:r w:rsidR="000274FE">
        <w:rPr>
          <w:sz w:val="24"/>
          <w:szCs w:val="24"/>
        </w:rPr>
        <w:t>.</w:t>
      </w:r>
    </w:p>
    <w:p w14:paraId="5DD20CDF" w14:textId="49CA920A" w:rsidR="00142937" w:rsidRPr="000274FE" w:rsidRDefault="00142937" w:rsidP="00142937">
      <w:pPr>
        <w:pStyle w:val="Heading2"/>
        <w:rPr>
          <w:rFonts w:cstheme="minorHAnsi"/>
          <w:sz w:val="24"/>
          <w:szCs w:val="24"/>
          <w:shd w:val="clear" w:color="auto" w:fill="FFFFFF"/>
        </w:rPr>
      </w:pPr>
      <w:r w:rsidRPr="000274FE">
        <w:rPr>
          <w:rFonts w:cstheme="minorHAnsi"/>
          <w:sz w:val="24"/>
          <w:szCs w:val="24"/>
          <w:shd w:val="clear" w:color="auto" w:fill="FFFFFF"/>
        </w:rPr>
        <w:t xml:space="preserve">The Freedom of Information Act does not override other laws that prevent disclosure, which we call ‘statutory </w:t>
      </w:r>
      <w:proofErr w:type="gramStart"/>
      <w:r w:rsidRPr="000274FE">
        <w:rPr>
          <w:rFonts w:cstheme="minorHAnsi"/>
          <w:sz w:val="24"/>
          <w:szCs w:val="24"/>
          <w:shd w:val="clear" w:color="auto" w:fill="FFFFFF"/>
        </w:rPr>
        <w:t>bars’</w:t>
      </w:r>
      <w:proofErr w:type="gramEnd"/>
      <w:r w:rsidRPr="000274FE">
        <w:rPr>
          <w:rFonts w:cstheme="minorHAnsi"/>
          <w:sz w:val="24"/>
          <w:szCs w:val="24"/>
          <w:shd w:val="clear" w:color="auto" w:fill="FFFFFF"/>
        </w:rPr>
        <w:t xml:space="preserve">. </w:t>
      </w:r>
      <w:r w:rsidR="00532D4A" w:rsidRPr="000274FE">
        <w:rPr>
          <w:rFonts w:cstheme="minorHAnsi"/>
          <w:sz w:val="24"/>
          <w:szCs w:val="24"/>
          <w:shd w:val="clear" w:color="auto" w:fill="FFFFFF"/>
        </w:rPr>
        <w:t xml:space="preserve"> </w:t>
      </w:r>
      <w:r w:rsidRPr="000274FE">
        <w:rPr>
          <w:rFonts w:cstheme="minorHAnsi"/>
          <w:sz w:val="24"/>
          <w:szCs w:val="24"/>
          <w:shd w:val="clear" w:color="auto" w:fill="FFFFFF"/>
        </w:rPr>
        <w:t>This exemption is absolute, so the public interest test</w:t>
      </w:r>
      <w:r w:rsidR="00532D4A" w:rsidRPr="000274FE">
        <w:rPr>
          <w:rFonts w:cstheme="minorHAnsi"/>
          <w:sz w:val="24"/>
          <w:szCs w:val="24"/>
          <w:shd w:val="clear" w:color="auto" w:fill="FFFFFF"/>
        </w:rPr>
        <w:t xml:space="preserve"> does not need to be applied</w:t>
      </w:r>
      <w:r w:rsidRPr="000274FE">
        <w:rPr>
          <w:rFonts w:cstheme="minorHAnsi"/>
          <w:sz w:val="24"/>
          <w:szCs w:val="24"/>
          <w:shd w:val="clear" w:color="auto" w:fill="FFFFFF"/>
        </w:rPr>
        <w:t xml:space="preserve">, but </w:t>
      </w:r>
      <w:r w:rsidR="00532D4A" w:rsidRPr="000274FE">
        <w:rPr>
          <w:rFonts w:cstheme="minorHAnsi"/>
          <w:sz w:val="24"/>
          <w:szCs w:val="24"/>
          <w:shd w:val="clear" w:color="auto" w:fill="FFFFFF"/>
        </w:rPr>
        <w:t xml:space="preserve">Practices should </w:t>
      </w:r>
      <w:r w:rsidRPr="000274FE">
        <w:rPr>
          <w:rFonts w:cstheme="minorHAnsi"/>
          <w:sz w:val="24"/>
          <w:szCs w:val="24"/>
          <w:shd w:val="clear" w:color="auto" w:fill="FFFFFF"/>
        </w:rPr>
        <w:t xml:space="preserve">bear in mind that some statutory bars may refer to the public interest. </w:t>
      </w:r>
      <w:r w:rsidR="00532D4A" w:rsidRPr="000274FE">
        <w:rPr>
          <w:rFonts w:cstheme="minorHAnsi"/>
          <w:sz w:val="24"/>
          <w:szCs w:val="24"/>
          <w:shd w:val="clear" w:color="auto" w:fill="FFFFFF"/>
        </w:rPr>
        <w:t xml:space="preserve"> </w:t>
      </w:r>
      <w:r w:rsidRPr="000274FE">
        <w:rPr>
          <w:rFonts w:cstheme="minorHAnsi"/>
          <w:sz w:val="24"/>
          <w:szCs w:val="24"/>
          <w:shd w:val="clear" w:color="auto" w:fill="FFFFFF"/>
        </w:rPr>
        <w:t xml:space="preserve">More information on </w:t>
      </w:r>
      <w:hyperlink r:id="rId45" w:history="1">
        <w:r w:rsidRPr="000274FE">
          <w:rPr>
            <w:rFonts w:cstheme="minorHAnsi"/>
            <w:sz w:val="24"/>
            <w:szCs w:val="24"/>
            <w:shd w:val="clear" w:color="auto" w:fill="FFFFFF"/>
          </w:rPr>
          <w:t>section 44</w:t>
        </w:r>
      </w:hyperlink>
      <w:r w:rsidRPr="000274FE">
        <w:rPr>
          <w:rFonts w:cstheme="minorHAnsi"/>
          <w:sz w:val="24"/>
          <w:szCs w:val="24"/>
          <w:shd w:val="clear" w:color="auto" w:fill="FFFFFF"/>
        </w:rPr>
        <w:t xml:space="preserve"> can be obtained from the ICO.</w:t>
      </w:r>
    </w:p>
    <w:p w14:paraId="5E44A63E" w14:textId="77777777" w:rsidR="00142937" w:rsidRPr="000274FE" w:rsidRDefault="00142937" w:rsidP="00273668">
      <w:pPr>
        <w:pStyle w:val="Heading1"/>
      </w:pPr>
      <w:r w:rsidRPr="000274FE">
        <w:t>Public interest test</w:t>
      </w:r>
    </w:p>
    <w:p w14:paraId="0AAA938F" w14:textId="51DFDD1D" w:rsidR="00142937" w:rsidRPr="000274FE" w:rsidRDefault="00142937" w:rsidP="00142937">
      <w:pPr>
        <w:pStyle w:val="Heading2"/>
        <w:rPr>
          <w:rFonts w:cstheme="minorHAnsi"/>
          <w:color w:val="4472C4" w:themeColor="accent1"/>
          <w:sz w:val="24"/>
          <w:szCs w:val="24"/>
        </w:rPr>
      </w:pPr>
      <w:r w:rsidRPr="000274FE">
        <w:rPr>
          <w:rFonts w:cstheme="minorHAnsi"/>
          <w:sz w:val="24"/>
          <w:szCs w:val="24"/>
          <w:shd w:val="clear" w:color="auto" w:fill="FFFFFF"/>
        </w:rPr>
        <w:t xml:space="preserve">If the exemption </w:t>
      </w:r>
      <w:r w:rsidR="00532D4A" w:rsidRPr="000274FE">
        <w:rPr>
          <w:rFonts w:cstheme="minorHAnsi"/>
          <w:sz w:val="24"/>
          <w:szCs w:val="24"/>
          <w:shd w:val="clear" w:color="auto" w:fill="FFFFFF"/>
        </w:rPr>
        <w:t xml:space="preserve">that </w:t>
      </w:r>
      <w:r w:rsidRPr="000274FE">
        <w:rPr>
          <w:rFonts w:cstheme="minorHAnsi"/>
          <w:sz w:val="24"/>
          <w:szCs w:val="24"/>
          <w:shd w:val="clear" w:color="auto" w:fill="FFFFFF"/>
        </w:rPr>
        <w:t>the Practice aims to apply is qualified, then a public interest test</w:t>
      </w:r>
      <w:r w:rsidR="00532D4A" w:rsidRPr="000274FE">
        <w:rPr>
          <w:rFonts w:cstheme="minorHAnsi"/>
          <w:sz w:val="24"/>
          <w:szCs w:val="24"/>
          <w:shd w:val="clear" w:color="auto" w:fill="FFFFFF"/>
        </w:rPr>
        <w:t xml:space="preserve"> will need to be carried out</w:t>
      </w:r>
      <w:r w:rsidRPr="000274FE">
        <w:rPr>
          <w:rFonts w:cstheme="minorHAnsi"/>
          <w:sz w:val="24"/>
          <w:szCs w:val="24"/>
          <w:shd w:val="clear" w:color="auto" w:fill="FFFFFF"/>
        </w:rPr>
        <w:t xml:space="preserve">, even if </w:t>
      </w:r>
      <w:r w:rsidR="00532D4A" w:rsidRPr="000274FE">
        <w:rPr>
          <w:rFonts w:cstheme="minorHAnsi"/>
          <w:sz w:val="24"/>
          <w:szCs w:val="24"/>
          <w:shd w:val="clear" w:color="auto" w:fill="FFFFFF"/>
        </w:rPr>
        <w:t xml:space="preserve">it is known that </w:t>
      </w:r>
      <w:r w:rsidRPr="000274FE">
        <w:rPr>
          <w:rFonts w:cstheme="minorHAnsi"/>
          <w:sz w:val="24"/>
          <w:szCs w:val="24"/>
          <w:shd w:val="clear" w:color="auto" w:fill="FFFFFF"/>
        </w:rPr>
        <w:t>the exemption applies.</w:t>
      </w:r>
    </w:p>
    <w:p w14:paraId="4CEB922A" w14:textId="35B15C46" w:rsidR="00142937" w:rsidRPr="000274FE" w:rsidRDefault="00142937" w:rsidP="00142937">
      <w:pPr>
        <w:pStyle w:val="Heading2"/>
        <w:rPr>
          <w:rFonts w:cstheme="minorHAnsi"/>
          <w:color w:val="4472C4" w:themeColor="accent1"/>
          <w:sz w:val="24"/>
          <w:szCs w:val="24"/>
        </w:rPr>
      </w:pPr>
      <w:r w:rsidRPr="000274FE">
        <w:rPr>
          <w:rFonts w:cstheme="minorHAnsi"/>
          <w:color w:val="000000"/>
          <w:sz w:val="24"/>
          <w:szCs w:val="24"/>
          <w:shd w:val="clear" w:color="auto" w:fill="FFFFFF"/>
        </w:rPr>
        <w:lastRenderedPageBreak/>
        <w:t>If the Practice thinks that an exclusion from the duty to confirm or deny</w:t>
      </w:r>
      <w:r w:rsidR="00532D4A" w:rsidRPr="000274FE">
        <w:rPr>
          <w:rFonts w:cstheme="minorHAnsi"/>
          <w:color w:val="000000"/>
          <w:sz w:val="24"/>
          <w:szCs w:val="24"/>
          <w:shd w:val="clear" w:color="auto" w:fill="FFFFFF"/>
        </w:rPr>
        <w:t xml:space="preserve"> may need to be claimed</w:t>
      </w:r>
      <w:r w:rsidRPr="000274FE">
        <w:rPr>
          <w:rFonts w:cstheme="minorHAnsi"/>
          <w:color w:val="000000"/>
          <w:sz w:val="24"/>
          <w:szCs w:val="24"/>
          <w:shd w:val="clear" w:color="auto" w:fill="FFFFFF"/>
        </w:rPr>
        <w:t xml:space="preserve">, then the public interest test </w:t>
      </w:r>
      <w:r w:rsidR="00532D4A" w:rsidRPr="000274FE">
        <w:rPr>
          <w:rFonts w:cstheme="minorHAnsi"/>
          <w:color w:val="000000"/>
          <w:sz w:val="24"/>
          <w:szCs w:val="24"/>
          <w:shd w:val="clear" w:color="auto" w:fill="FFFFFF"/>
        </w:rPr>
        <w:t xml:space="preserve">will need to be considered </w:t>
      </w:r>
      <w:r w:rsidRPr="000274FE">
        <w:rPr>
          <w:rFonts w:cstheme="minorHAnsi"/>
          <w:color w:val="000000"/>
          <w:sz w:val="24"/>
          <w:szCs w:val="24"/>
          <w:shd w:val="clear" w:color="auto" w:fill="FFFFFF"/>
        </w:rPr>
        <w:t xml:space="preserve">for this duty. </w:t>
      </w:r>
      <w:r w:rsidR="00532D4A"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The Practice will need to do this separately from the public interest test for the duty to provide information.</w:t>
      </w:r>
    </w:p>
    <w:p w14:paraId="04533E76" w14:textId="262A856E" w:rsidR="00142937" w:rsidRPr="000274FE" w:rsidRDefault="00142937" w:rsidP="00142937">
      <w:pPr>
        <w:pStyle w:val="Heading2"/>
        <w:rPr>
          <w:rFonts w:cstheme="minorHAnsi"/>
          <w:color w:val="4472C4" w:themeColor="accent1"/>
          <w:sz w:val="24"/>
          <w:szCs w:val="24"/>
        </w:rPr>
      </w:pPr>
      <w:r w:rsidRPr="000274FE">
        <w:rPr>
          <w:rFonts w:cstheme="minorHAnsi"/>
          <w:color w:val="000000"/>
          <w:sz w:val="24"/>
          <w:szCs w:val="24"/>
          <w:shd w:val="clear" w:color="auto" w:fill="FFFFFF"/>
        </w:rPr>
        <w:t>For ‘neither confirm nor deny’ cases (NCND)</w:t>
      </w:r>
      <w:r w:rsidR="00532D4A" w:rsidRPr="000274FE">
        <w:rPr>
          <w:rFonts w:cstheme="minorHAnsi"/>
          <w:color w:val="000000"/>
          <w:sz w:val="24"/>
          <w:szCs w:val="24"/>
          <w:shd w:val="clear" w:color="auto" w:fill="FFFFFF"/>
        </w:rPr>
        <w:t>,</w:t>
      </w:r>
      <w:r w:rsidRPr="000274FE">
        <w:rPr>
          <w:rFonts w:cstheme="minorHAnsi"/>
          <w:color w:val="000000"/>
          <w:sz w:val="24"/>
          <w:szCs w:val="24"/>
          <w:shd w:val="clear" w:color="auto" w:fill="FFFFFF"/>
        </w:rPr>
        <w:t xml:space="preserve"> the public interest test involves weighing the public interest in confirming </w:t>
      </w:r>
      <w:proofErr w:type="gramStart"/>
      <w:r w:rsidRPr="000274FE">
        <w:rPr>
          <w:rFonts w:cstheme="minorHAnsi"/>
          <w:color w:val="000000"/>
          <w:sz w:val="24"/>
          <w:szCs w:val="24"/>
          <w:shd w:val="clear" w:color="auto" w:fill="FFFFFF"/>
        </w:rPr>
        <w:t>whether or not</w:t>
      </w:r>
      <w:proofErr w:type="gramEnd"/>
      <w:r w:rsidRPr="000274FE">
        <w:rPr>
          <w:rFonts w:cstheme="minorHAnsi"/>
          <w:color w:val="000000"/>
          <w:sz w:val="24"/>
          <w:szCs w:val="24"/>
          <w:shd w:val="clear" w:color="auto" w:fill="FFFFFF"/>
        </w:rPr>
        <w:t xml:space="preserve"> information is held against the public interest in refusing to do this. </w:t>
      </w:r>
      <w:r w:rsidR="00532D4A"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The public interest in maintaining the exclusion from the duty to confirm or deny would have to outweigh the public interest in confirming or denying that information is held, </w:t>
      </w:r>
      <w:proofErr w:type="gramStart"/>
      <w:r w:rsidRPr="000274FE">
        <w:rPr>
          <w:rFonts w:cstheme="minorHAnsi"/>
          <w:color w:val="000000"/>
          <w:sz w:val="24"/>
          <w:szCs w:val="24"/>
          <w:shd w:val="clear" w:color="auto" w:fill="FFFFFF"/>
        </w:rPr>
        <w:t>in order to</w:t>
      </w:r>
      <w:proofErr w:type="gramEnd"/>
      <w:r w:rsidRPr="000274FE">
        <w:rPr>
          <w:rFonts w:cstheme="minorHAnsi"/>
          <w:color w:val="000000"/>
          <w:sz w:val="24"/>
          <w:szCs w:val="24"/>
          <w:shd w:val="clear" w:color="auto" w:fill="FFFFFF"/>
        </w:rPr>
        <w:t xml:space="preserve"> justify an NCND response.</w:t>
      </w:r>
    </w:p>
    <w:p w14:paraId="088FE93F" w14:textId="369AA024" w:rsidR="00142937" w:rsidRPr="000274FE" w:rsidRDefault="00142937" w:rsidP="00142937">
      <w:pPr>
        <w:pStyle w:val="Heading2"/>
        <w:rPr>
          <w:rFonts w:cstheme="minorHAnsi"/>
          <w:color w:val="4472C4" w:themeColor="accent1"/>
          <w:sz w:val="24"/>
          <w:szCs w:val="24"/>
        </w:rPr>
      </w:pPr>
      <w:r w:rsidRPr="000274FE">
        <w:rPr>
          <w:rFonts w:cstheme="minorHAnsi"/>
          <w:color w:val="000000"/>
          <w:sz w:val="24"/>
          <w:szCs w:val="24"/>
          <w:shd w:val="clear" w:color="auto" w:fill="FFFFFF"/>
        </w:rPr>
        <w:t>Similarly, when considering whether information</w:t>
      </w:r>
      <w:r w:rsidR="00532D4A" w:rsidRPr="000274FE">
        <w:rPr>
          <w:rFonts w:cstheme="minorHAnsi"/>
          <w:color w:val="000000"/>
          <w:sz w:val="24"/>
          <w:szCs w:val="24"/>
          <w:shd w:val="clear" w:color="auto" w:fill="FFFFFF"/>
        </w:rPr>
        <w:t xml:space="preserve"> should be disclosed</w:t>
      </w:r>
      <w:r w:rsidRPr="000274FE">
        <w:rPr>
          <w:rFonts w:cstheme="minorHAnsi"/>
          <w:color w:val="000000"/>
          <w:sz w:val="24"/>
          <w:szCs w:val="24"/>
          <w:shd w:val="clear" w:color="auto" w:fill="FFFFFF"/>
        </w:rPr>
        <w:t xml:space="preserve">, the public interest in disclosure </w:t>
      </w:r>
      <w:r w:rsidR="00532D4A" w:rsidRPr="000274FE">
        <w:rPr>
          <w:rFonts w:cstheme="minorHAnsi"/>
          <w:color w:val="000000"/>
          <w:sz w:val="24"/>
          <w:szCs w:val="24"/>
          <w:shd w:val="clear" w:color="auto" w:fill="FFFFFF"/>
        </w:rPr>
        <w:t xml:space="preserve">will need to be weighed </w:t>
      </w:r>
      <w:r w:rsidRPr="000274FE">
        <w:rPr>
          <w:rFonts w:cstheme="minorHAnsi"/>
          <w:color w:val="000000"/>
          <w:sz w:val="24"/>
          <w:szCs w:val="24"/>
          <w:shd w:val="clear" w:color="auto" w:fill="FFFFFF"/>
        </w:rPr>
        <w:t>against the public interest in maintaining the exemption.</w:t>
      </w:r>
      <w:r w:rsidR="00532D4A"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 The Practice must bear in mind that the principle behind the Act is to release information unless there is a good reason not to. </w:t>
      </w:r>
      <w:r w:rsidR="00532D4A"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To justify withholding information, the public interest in maintaining the exemption would have to outweigh the public interest in disclosure.</w:t>
      </w:r>
    </w:p>
    <w:p w14:paraId="13F3C817" w14:textId="11991C94" w:rsidR="00142937" w:rsidRPr="000274FE" w:rsidRDefault="00142937" w:rsidP="00142937">
      <w:pPr>
        <w:pStyle w:val="Heading2"/>
        <w:rPr>
          <w:rFonts w:cstheme="minorHAnsi"/>
          <w:color w:val="4472C4" w:themeColor="accent1"/>
          <w:sz w:val="24"/>
          <w:szCs w:val="24"/>
        </w:rPr>
      </w:pPr>
      <w:r w:rsidRPr="000274FE">
        <w:rPr>
          <w:rFonts w:cstheme="minorHAnsi"/>
          <w:color w:val="000000"/>
          <w:sz w:val="24"/>
          <w:szCs w:val="24"/>
          <w:shd w:val="clear" w:color="auto" w:fill="FFFFFF"/>
        </w:rPr>
        <w:t xml:space="preserve">The Practice can withhold information only if it is covered by one of the exemptions and, for qualified exemptions, the public interest in maintaining the exemption outweighs the public interest in disclosure. </w:t>
      </w:r>
      <w:r w:rsidR="00532D4A"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The Practice must follow the steps in this order, so information</w:t>
      </w:r>
      <w:r w:rsidR="00532D4A" w:rsidRPr="000274FE">
        <w:rPr>
          <w:rFonts w:cstheme="minorHAnsi"/>
          <w:color w:val="000000"/>
          <w:sz w:val="24"/>
          <w:szCs w:val="24"/>
          <w:shd w:val="clear" w:color="auto" w:fill="FFFFFF"/>
        </w:rPr>
        <w:t xml:space="preserve"> cannot be withheld</w:t>
      </w:r>
      <w:r w:rsidRPr="000274FE">
        <w:rPr>
          <w:rFonts w:cstheme="minorHAnsi"/>
          <w:color w:val="000000"/>
          <w:sz w:val="24"/>
          <w:szCs w:val="24"/>
          <w:shd w:val="clear" w:color="auto" w:fill="FFFFFF"/>
        </w:rPr>
        <w:t xml:space="preserve"> because </w:t>
      </w:r>
      <w:r w:rsidR="00D97935" w:rsidRPr="000274FE">
        <w:rPr>
          <w:rFonts w:cstheme="minorHAnsi"/>
          <w:color w:val="000000"/>
          <w:sz w:val="24"/>
          <w:szCs w:val="24"/>
          <w:shd w:val="clear" w:color="auto" w:fill="FFFFFF"/>
        </w:rPr>
        <w:t>it is felt that this</w:t>
      </w:r>
      <w:r w:rsidRPr="000274FE">
        <w:rPr>
          <w:rFonts w:cstheme="minorHAnsi"/>
          <w:color w:val="000000"/>
          <w:sz w:val="24"/>
          <w:szCs w:val="24"/>
          <w:shd w:val="clear" w:color="auto" w:fill="FFFFFF"/>
        </w:rPr>
        <w:t xml:space="preserve"> would be against the public interest</w:t>
      </w:r>
      <w:r w:rsidR="00D97935" w:rsidRPr="000274FE">
        <w:rPr>
          <w:rFonts w:cstheme="minorHAnsi"/>
          <w:color w:val="000000"/>
          <w:sz w:val="24"/>
          <w:szCs w:val="24"/>
          <w:shd w:val="clear" w:color="auto" w:fill="FFFFFF"/>
        </w:rPr>
        <w:t>,</w:t>
      </w:r>
      <w:r w:rsidRPr="000274FE">
        <w:rPr>
          <w:rFonts w:cstheme="minorHAnsi"/>
          <w:color w:val="000000"/>
          <w:sz w:val="24"/>
          <w:szCs w:val="24"/>
          <w:shd w:val="clear" w:color="auto" w:fill="FFFFFF"/>
        </w:rPr>
        <w:t xml:space="preserve"> without first identifying a specific exemption. </w:t>
      </w:r>
      <w:r w:rsidR="00D97935"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More information on the </w:t>
      </w:r>
      <w:hyperlink r:id="rId46" w:history="1">
        <w:r w:rsidRPr="000274FE">
          <w:rPr>
            <w:rFonts w:cstheme="minorHAnsi"/>
            <w:sz w:val="24"/>
            <w:szCs w:val="24"/>
            <w:shd w:val="clear" w:color="auto" w:fill="FFFFFF"/>
          </w:rPr>
          <w:t>public interest test</w:t>
        </w:r>
      </w:hyperlink>
      <w:r w:rsidRPr="000274FE">
        <w:rPr>
          <w:rFonts w:cstheme="minorHAnsi"/>
          <w:color w:val="000000"/>
          <w:sz w:val="24"/>
          <w:szCs w:val="24"/>
          <w:shd w:val="clear" w:color="auto" w:fill="FFFFFF"/>
        </w:rPr>
        <w:t xml:space="preserve"> can be obtained from the ICO. </w:t>
      </w:r>
    </w:p>
    <w:p w14:paraId="0A4FE8A9" w14:textId="4A897E21" w:rsidR="00142937" w:rsidRPr="000274FE" w:rsidRDefault="00142937" w:rsidP="00142937">
      <w:pPr>
        <w:pStyle w:val="Heading2"/>
        <w:rPr>
          <w:rFonts w:cstheme="minorHAnsi"/>
          <w:color w:val="4472C4" w:themeColor="accent1"/>
          <w:sz w:val="24"/>
          <w:szCs w:val="24"/>
        </w:rPr>
      </w:pPr>
      <w:r w:rsidRPr="000274FE">
        <w:rPr>
          <w:rFonts w:cstheme="minorHAnsi"/>
          <w:color w:val="000000"/>
          <w:sz w:val="24"/>
          <w:szCs w:val="24"/>
          <w:shd w:val="clear" w:color="auto" w:fill="FFFFFF"/>
        </w:rPr>
        <w:t xml:space="preserve">The law says </w:t>
      </w:r>
      <w:r w:rsidR="00D97935" w:rsidRPr="000274FE">
        <w:rPr>
          <w:rFonts w:cstheme="minorHAnsi"/>
          <w:color w:val="000000"/>
          <w:sz w:val="24"/>
          <w:szCs w:val="24"/>
          <w:shd w:val="clear" w:color="auto" w:fill="FFFFFF"/>
        </w:rPr>
        <w:t>that there can be</w:t>
      </w:r>
      <w:r w:rsidRPr="000274FE">
        <w:rPr>
          <w:rFonts w:cstheme="minorHAnsi"/>
          <w:color w:val="000000"/>
          <w:sz w:val="24"/>
          <w:szCs w:val="24"/>
          <w:shd w:val="clear" w:color="auto" w:fill="FFFFFF"/>
        </w:rPr>
        <w:t xml:space="preserve"> a “reasonable” extension of time to consider the public interest test. </w:t>
      </w:r>
      <w:r w:rsidR="00D97935" w:rsidRPr="000274FE">
        <w:rPr>
          <w:rFonts w:cstheme="minorHAnsi"/>
          <w:color w:val="000000"/>
          <w:sz w:val="24"/>
          <w:szCs w:val="24"/>
          <w:shd w:val="clear" w:color="auto" w:fill="FFFFFF"/>
        </w:rPr>
        <w:t xml:space="preserve"> The ICO considers </w:t>
      </w:r>
      <w:r w:rsidRPr="000274FE">
        <w:rPr>
          <w:rFonts w:cstheme="minorHAnsi"/>
          <w:color w:val="000000"/>
          <w:sz w:val="24"/>
          <w:szCs w:val="24"/>
          <w:shd w:val="clear" w:color="auto" w:fill="FFFFFF"/>
        </w:rPr>
        <w:t xml:space="preserve">that this should normally be no more than an extra 20 working days, which is 40 working days in total to deal with the request. </w:t>
      </w:r>
      <w:r w:rsidR="00D97935"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Any extension beyond this time should be exceptional and </w:t>
      </w:r>
      <w:r w:rsidR="00D97935" w:rsidRPr="000274FE">
        <w:rPr>
          <w:rFonts w:cstheme="minorHAnsi"/>
          <w:color w:val="000000"/>
          <w:sz w:val="24"/>
          <w:szCs w:val="24"/>
          <w:shd w:val="clear" w:color="auto" w:fill="FFFFFF"/>
        </w:rPr>
        <w:t>the Practice</w:t>
      </w:r>
      <w:r w:rsidRPr="000274FE">
        <w:rPr>
          <w:rFonts w:cstheme="minorHAnsi"/>
          <w:color w:val="000000"/>
          <w:sz w:val="24"/>
          <w:szCs w:val="24"/>
          <w:shd w:val="clear" w:color="auto" w:fill="FFFFFF"/>
        </w:rPr>
        <w:t xml:space="preserve"> must be able to justify it.</w:t>
      </w:r>
    </w:p>
    <w:p w14:paraId="369D47C1" w14:textId="28175263" w:rsidR="00142937" w:rsidRPr="000274FE" w:rsidRDefault="00142937" w:rsidP="00142937">
      <w:pPr>
        <w:pStyle w:val="Heading2"/>
        <w:rPr>
          <w:rFonts w:cstheme="minorHAnsi"/>
          <w:color w:val="4472C4" w:themeColor="accent1"/>
          <w:sz w:val="24"/>
          <w:szCs w:val="24"/>
        </w:rPr>
      </w:pPr>
      <w:r w:rsidRPr="000274FE">
        <w:rPr>
          <w:rFonts w:cstheme="minorHAnsi"/>
          <w:color w:val="000000"/>
          <w:sz w:val="24"/>
          <w:szCs w:val="24"/>
          <w:shd w:val="clear" w:color="auto" w:fill="FFFFFF"/>
        </w:rPr>
        <w:t xml:space="preserve">To claim this extra time, </w:t>
      </w:r>
      <w:r w:rsidR="00D97935" w:rsidRPr="000274FE">
        <w:rPr>
          <w:rFonts w:cstheme="minorHAnsi"/>
          <w:color w:val="000000"/>
          <w:sz w:val="24"/>
          <w:szCs w:val="24"/>
          <w:shd w:val="clear" w:color="auto" w:fill="FFFFFF"/>
        </w:rPr>
        <w:t>the Practice</w:t>
      </w:r>
      <w:r w:rsidRPr="000274FE">
        <w:rPr>
          <w:rFonts w:cstheme="minorHAnsi"/>
          <w:color w:val="000000"/>
          <w:sz w:val="24"/>
          <w:szCs w:val="24"/>
          <w:shd w:val="clear" w:color="auto" w:fill="FFFFFF"/>
        </w:rPr>
        <w:t xml:space="preserve"> must:</w:t>
      </w:r>
    </w:p>
    <w:p w14:paraId="4AD67EF8" w14:textId="6B2B3DC3" w:rsidR="00142937" w:rsidRPr="000274FE" w:rsidRDefault="00D97935" w:rsidP="000864F9">
      <w:pPr>
        <w:pStyle w:val="ListBullet3"/>
        <w:rPr>
          <w:sz w:val="24"/>
          <w:szCs w:val="24"/>
        </w:rPr>
      </w:pPr>
      <w:r w:rsidRPr="000274FE">
        <w:rPr>
          <w:sz w:val="24"/>
          <w:szCs w:val="24"/>
        </w:rPr>
        <w:t>c</w:t>
      </w:r>
      <w:r w:rsidR="00142937" w:rsidRPr="000274FE">
        <w:rPr>
          <w:sz w:val="24"/>
          <w:szCs w:val="24"/>
        </w:rPr>
        <w:t xml:space="preserve">ontact the requester in writing within the standard time for </w:t>
      </w:r>
      <w:proofErr w:type="gramStart"/>
      <w:r w:rsidR="00142937" w:rsidRPr="000274FE">
        <w:rPr>
          <w:sz w:val="24"/>
          <w:szCs w:val="24"/>
        </w:rPr>
        <w:t>compliance;</w:t>
      </w:r>
      <w:proofErr w:type="gramEnd"/>
    </w:p>
    <w:p w14:paraId="21D1D15A" w14:textId="0487CD87" w:rsidR="00142937" w:rsidRPr="000274FE" w:rsidRDefault="00D97935" w:rsidP="000864F9">
      <w:pPr>
        <w:pStyle w:val="ListBullet3"/>
        <w:rPr>
          <w:sz w:val="24"/>
          <w:szCs w:val="24"/>
        </w:rPr>
      </w:pPr>
      <w:r w:rsidRPr="000274FE">
        <w:rPr>
          <w:sz w:val="24"/>
          <w:szCs w:val="24"/>
        </w:rPr>
        <w:t>s</w:t>
      </w:r>
      <w:r w:rsidR="00142937" w:rsidRPr="000274FE">
        <w:rPr>
          <w:sz w:val="24"/>
          <w:szCs w:val="24"/>
        </w:rPr>
        <w:t xml:space="preserve">pecify which exemption(s) </w:t>
      </w:r>
      <w:r w:rsidRPr="000274FE">
        <w:rPr>
          <w:sz w:val="24"/>
          <w:szCs w:val="24"/>
        </w:rPr>
        <w:t>it is</w:t>
      </w:r>
      <w:r w:rsidR="00142937" w:rsidRPr="000274FE">
        <w:rPr>
          <w:sz w:val="24"/>
          <w:szCs w:val="24"/>
        </w:rPr>
        <w:t xml:space="preserve"> seeking to rely on; and</w:t>
      </w:r>
    </w:p>
    <w:p w14:paraId="09593AB2" w14:textId="377F8D47" w:rsidR="00142937" w:rsidRPr="000274FE" w:rsidRDefault="00D97935" w:rsidP="000864F9">
      <w:pPr>
        <w:pStyle w:val="ListBullet3"/>
        <w:rPr>
          <w:sz w:val="24"/>
          <w:szCs w:val="24"/>
        </w:rPr>
      </w:pPr>
      <w:r w:rsidRPr="000274FE">
        <w:rPr>
          <w:sz w:val="24"/>
          <w:szCs w:val="24"/>
        </w:rPr>
        <w:t>g</w:t>
      </w:r>
      <w:r w:rsidR="00142937" w:rsidRPr="000274FE">
        <w:rPr>
          <w:sz w:val="24"/>
          <w:szCs w:val="24"/>
        </w:rPr>
        <w:t>ive an estimate of when the public interest test</w:t>
      </w:r>
      <w:r w:rsidRPr="000274FE">
        <w:rPr>
          <w:sz w:val="24"/>
          <w:szCs w:val="24"/>
        </w:rPr>
        <w:t xml:space="preserve"> will have been completed.</w:t>
      </w:r>
    </w:p>
    <w:p w14:paraId="3F2D7FB4" w14:textId="675DCDC4" w:rsidR="00142937" w:rsidRPr="000274FE" w:rsidRDefault="00142937" w:rsidP="00142937">
      <w:pPr>
        <w:pStyle w:val="Heading2"/>
        <w:rPr>
          <w:rFonts w:cstheme="minorHAnsi"/>
          <w:sz w:val="24"/>
          <w:szCs w:val="24"/>
          <w:shd w:val="clear" w:color="auto" w:fill="FFFFFF"/>
        </w:rPr>
      </w:pPr>
      <w:r w:rsidRPr="000274FE">
        <w:rPr>
          <w:rFonts w:cstheme="minorHAnsi"/>
          <w:sz w:val="24"/>
          <w:szCs w:val="24"/>
          <w:shd w:val="clear" w:color="auto" w:fill="FFFFFF"/>
        </w:rPr>
        <w:t xml:space="preserve">The Practice must identify the relevant exemptions and ensure they can be applied in this case, for example, by considering the prejudice test before </w:t>
      </w:r>
      <w:r w:rsidR="00D97935" w:rsidRPr="000274FE">
        <w:rPr>
          <w:rFonts w:cstheme="minorHAnsi"/>
          <w:sz w:val="24"/>
          <w:szCs w:val="24"/>
          <w:shd w:val="clear" w:color="auto" w:fill="FFFFFF"/>
        </w:rPr>
        <w:t>this is done</w:t>
      </w:r>
      <w:r w:rsidRPr="000274FE">
        <w:rPr>
          <w:rFonts w:cstheme="minorHAnsi"/>
          <w:sz w:val="24"/>
          <w:szCs w:val="24"/>
          <w:shd w:val="clear" w:color="auto" w:fill="FFFFFF"/>
        </w:rPr>
        <w:t xml:space="preserve">. </w:t>
      </w:r>
      <w:r w:rsidR="00D97935" w:rsidRPr="000274FE">
        <w:rPr>
          <w:rFonts w:cstheme="minorHAnsi"/>
          <w:sz w:val="24"/>
          <w:szCs w:val="24"/>
          <w:shd w:val="clear" w:color="auto" w:fill="FFFFFF"/>
        </w:rPr>
        <w:t xml:space="preserve"> </w:t>
      </w:r>
      <w:r w:rsidRPr="000274FE">
        <w:rPr>
          <w:rFonts w:cstheme="minorHAnsi"/>
          <w:sz w:val="24"/>
          <w:szCs w:val="24"/>
          <w:shd w:val="clear" w:color="auto" w:fill="FFFFFF"/>
        </w:rPr>
        <w:t xml:space="preserve">The Practice cannot use the extra time for considering whether an exemption applies. </w:t>
      </w:r>
      <w:r w:rsidR="00D97935" w:rsidRPr="000274FE">
        <w:rPr>
          <w:rFonts w:cstheme="minorHAnsi"/>
          <w:sz w:val="24"/>
          <w:szCs w:val="24"/>
          <w:shd w:val="clear" w:color="auto" w:fill="FFFFFF"/>
        </w:rPr>
        <w:t xml:space="preserve"> Any</w:t>
      </w:r>
      <w:r w:rsidRPr="000274FE">
        <w:rPr>
          <w:rFonts w:cstheme="minorHAnsi"/>
          <w:sz w:val="24"/>
          <w:szCs w:val="24"/>
          <w:shd w:val="clear" w:color="auto" w:fill="FFFFFF"/>
        </w:rPr>
        <w:t xml:space="preserve"> information that is not covered by an exemption </w:t>
      </w:r>
      <w:r w:rsidR="00D97935" w:rsidRPr="000274FE">
        <w:rPr>
          <w:rFonts w:cstheme="minorHAnsi"/>
          <w:sz w:val="24"/>
          <w:szCs w:val="24"/>
          <w:shd w:val="clear" w:color="auto" w:fill="FFFFFF"/>
        </w:rPr>
        <w:t xml:space="preserve">should be released </w:t>
      </w:r>
      <w:r w:rsidRPr="000274FE">
        <w:rPr>
          <w:rFonts w:cstheme="minorHAnsi"/>
          <w:sz w:val="24"/>
          <w:szCs w:val="24"/>
          <w:shd w:val="clear" w:color="auto" w:fill="FFFFFF"/>
        </w:rPr>
        <w:t>within the standard time.</w:t>
      </w:r>
    </w:p>
    <w:p w14:paraId="4F88E957" w14:textId="6397BE4E" w:rsidR="00142937" w:rsidRPr="000274FE" w:rsidRDefault="00D97935" w:rsidP="00142937">
      <w:pPr>
        <w:pStyle w:val="Heading2"/>
        <w:rPr>
          <w:rFonts w:cstheme="minorHAnsi"/>
          <w:sz w:val="24"/>
          <w:szCs w:val="24"/>
        </w:rPr>
      </w:pPr>
      <w:r w:rsidRPr="000274FE">
        <w:rPr>
          <w:rFonts w:cstheme="minorHAnsi"/>
          <w:color w:val="000000"/>
          <w:sz w:val="24"/>
          <w:szCs w:val="24"/>
          <w:shd w:val="clear" w:color="auto" w:fill="FFFFFF"/>
        </w:rPr>
        <w:t>Once a</w:t>
      </w:r>
      <w:r w:rsidR="00142937" w:rsidRPr="000274FE">
        <w:rPr>
          <w:rFonts w:cstheme="minorHAnsi"/>
          <w:color w:val="000000"/>
          <w:sz w:val="24"/>
          <w:szCs w:val="24"/>
          <w:shd w:val="clear" w:color="auto" w:fill="FFFFFF"/>
        </w:rPr>
        <w:t xml:space="preserve"> conclusion </w:t>
      </w:r>
      <w:r w:rsidRPr="000274FE">
        <w:rPr>
          <w:rFonts w:cstheme="minorHAnsi"/>
          <w:color w:val="000000"/>
          <w:sz w:val="24"/>
          <w:szCs w:val="24"/>
          <w:shd w:val="clear" w:color="auto" w:fill="FFFFFF"/>
        </w:rPr>
        <w:t xml:space="preserve">has been reached </w:t>
      </w:r>
      <w:r w:rsidR="00142937" w:rsidRPr="000274FE">
        <w:rPr>
          <w:rFonts w:cstheme="minorHAnsi"/>
          <w:color w:val="000000"/>
          <w:sz w:val="24"/>
          <w:szCs w:val="24"/>
          <w:shd w:val="clear" w:color="auto" w:fill="FFFFFF"/>
        </w:rPr>
        <w:t xml:space="preserve">on the balance of the public interest, </w:t>
      </w:r>
      <w:r w:rsidRPr="000274FE">
        <w:rPr>
          <w:rFonts w:cstheme="minorHAnsi"/>
          <w:color w:val="000000"/>
          <w:sz w:val="24"/>
          <w:szCs w:val="24"/>
          <w:shd w:val="clear" w:color="auto" w:fill="FFFFFF"/>
        </w:rPr>
        <w:t>the Practice</w:t>
      </w:r>
      <w:r w:rsidR="00142937" w:rsidRPr="000274FE">
        <w:rPr>
          <w:rFonts w:cstheme="minorHAnsi"/>
          <w:color w:val="000000"/>
          <w:sz w:val="24"/>
          <w:szCs w:val="24"/>
          <w:shd w:val="clear" w:color="auto" w:fill="FFFFFF"/>
        </w:rPr>
        <w:t xml:space="preserve"> will:</w:t>
      </w:r>
    </w:p>
    <w:p w14:paraId="526C9D59" w14:textId="135F7A76" w:rsidR="00142937" w:rsidRPr="000274FE" w:rsidRDefault="00D97935" w:rsidP="000864F9">
      <w:pPr>
        <w:pStyle w:val="ListBullet3"/>
        <w:rPr>
          <w:sz w:val="24"/>
          <w:szCs w:val="24"/>
        </w:rPr>
      </w:pPr>
      <w:r w:rsidRPr="000274FE">
        <w:rPr>
          <w:sz w:val="24"/>
          <w:szCs w:val="24"/>
        </w:rPr>
        <w:t>d</w:t>
      </w:r>
      <w:r w:rsidR="00142937" w:rsidRPr="000274FE">
        <w:rPr>
          <w:sz w:val="24"/>
          <w:szCs w:val="24"/>
        </w:rPr>
        <w:t>isclose the information; or</w:t>
      </w:r>
    </w:p>
    <w:p w14:paraId="2BDD4B01" w14:textId="343EA0CA" w:rsidR="00142937" w:rsidRPr="000274FE" w:rsidRDefault="00D97935" w:rsidP="000864F9">
      <w:pPr>
        <w:pStyle w:val="ListBullet3"/>
        <w:rPr>
          <w:sz w:val="24"/>
          <w:szCs w:val="24"/>
        </w:rPr>
      </w:pPr>
      <w:r w:rsidRPr="000274FE">
        <w:rPr>
          <w:sz w:val="24"/>
          <w:szCs w:val="24"/>
        </w:rPr>
        <w:t>w</w:t>
      </w:r>
      <w:r w:rsidR="00142937" w:rsidRPr="000274FE">
        <w:rPr>
          <w:sz w:val="24"/>
          <w:szCs w:val="24"/>
        </w:rPr>
        <w:t xml:space="preserve">rite to the requester explaining why </w:t>
      </w:r>
      <w:r w:rsidRPr="000274FE">
        <w:rPr>
          <w:sz w:val="24"/>
          <w:szCs w:val="24"/>
        </w:rPr>
        <w:t>it has been</w:t>
      </w:r>
      <w:r w:rsidR="00142937" w:rsidRPr="000274FE">
        <w:rPr>
          <w:sz w:val="24"/>
          <w:szCs w:val="24"/>
        </w:rPr>
        <w:t xml:space="preserve"> found that the public interest favours maintaining the exemption</w:t>
      </w:r>
      <w:r w:rsidR="000274FE">
        <w:rPr>
          <w:sz w:val="24"/>
          <w:szCs w:val="24"/>
        </w:rPr>
        <w:t>.</w:t>
      </w:r>
    </w:p>
    <w:p w14:paraId="63933FE0" w14:textId="03B30E6A" w:rsidR="00142937" w:rsidRPr="000274FE" w:rsidRDefault="00142937" w:rsidP="00142937">
      <w:pPr>
        <w:pStyle w:val="Heading2"/>
        <w:rPr>
          <w:rFonts w:cstheme="minorHAnsi"/>
          <w:sz w:val="24"/>
          <w:szCs w:val="24"/>
          <w:shd w:val="clear" w:color="auto" w:fill="FFFFFF"/>
        </w:rPr>
      </w:pPr>
      <w:r w:rsidRPr="000274FE">
        <w:rPr>
          <w:rFonts w:cstheme="minorHAnsi"/>
          <w:sz w:val="24"/>
          <w:szCs w:val="24"/>
          <w:shd w:val="clear" w:color="auto" w:fill="FFFFFF"/>
        </w:rPr>
        <w:lastRenderedPageBreak/>
        <w:t>Certain exemptions do not apply to historical records.</w:t>
      </w:r>
      <w:r w:rsidR="00D97935" w:rsidRPr="000274FE">
        <w:rPr>
          <w:rFonts w:cstheme="minorHAnsi"/>
          <w:sz w:val="24"/>
          <w:szCs w:val="24"/>
          <w:shd w:val="clear" w:color="auto" w:fill="FFFFFF"/>
        </w:rPr>
        <w:t xml:space="preserve"> </w:t>
      </w:r>
      <w:r w:rsidRPr="000274FE">
        <w:rPr>
          <w:rFonts w:cstheme="minorHAnsi"/>
          <w:sz w:val="24"/>
          <w:szCs w:val="24"/>
          <w:shd w:val="clear" w:color="auto" w:fill="FFFFFF"/>
        </w:rPr>
        <w:t xml:space="preserve"> Originally, a historical record was a record over 30 years old, although this has now been amended to 20 years by the Constitutional Reform and Governance Act 2010. </w:t>
      </w:r>
      <w:r w:rsidR="00D97935" w:rsidRPr="000274FE">
        <w:rPr>
          <w:rFonts w:cstheme="minorHAnsi"/>
          <w:sz w:val="24"/>
          <w:szCs w:val="24"/>
          <w:shd w:val="clear" w:color="auto" w:fill="FFFFFF"/>
        </w:rPr>
        <w:t xml:space="preserve"> </w:t>
      </w:r>
      <w:r w:rsidRPr="000274FE">
        <w:rPr>
          <w:rFonts w:cstheme="minorHAnsi"/>
          <w:sz w:val="24"/>
          <w:szCs w:val="24"/>
          <w:shd w:val="clear" w:color="auto" w:fill="FFFFFF"/>
        </w:rPr>
        <w:t xml:space="preserve">This reduction </w:t>
      </w:r>
      <w:r w:rsidR="00D97935" w:rsidRPr="000274FE">
        <w:rPr>
          <w:rFonts w:cstheme="minorHAnsi"/>
          <w:sz w:val="24"/>
          <w:szCs w:val="24"/>
          <w:shd w:val="clear" w:color="auto" w:fill="FFFFFF"/>
        </w:rPr>
        <w:t>has been</w:t>
      </w:r>
      <w:r w:rsidRPr="000274FE">
        <w:rPr>
          <w:rFonts w:cstheme="minorHAnsi"/>
          <w:sz w:val="24"/>
          <w:szCs w:val="24"/>
          <w:shd w:val="clear" w:color="auto" w:fill="FFFFFF"/>
        </w:rPr>
        <w:t xml:space="preserve"> phased in gradually over 10 years</w:t>
      </w:r>
      <w:r w:rsidR="00D97935" w:rsidRPr="000274FE">
        <w:rPr>
          <w:rFonts w:cstheme="minorHAnsi"/>
          <w:sz w:val="24"/>
          <w:szCs w:val="24"/>
          <w:shd w:val="clear" w:color="auto" w:fill="FFFFFF"/>
        </w:rPr>
        <w:t xml:space="preserve"> and will</w:t>
      </w:r>
      <w:r w:rsidRPr="000274FE">
        <w:rPr>
          <w:rFonts w:cstheme="minorHAnsi"/>
          <w:sz w:val="24"/>
          <w:szCs w:val="24"/>
          <w:shd w:val="clear" w:color="auto" w:fill="FFFFFF"/>
        </w:rPr>
        <w:t xml:space="preserve"> reaches 20 year</w:t>
      </w:r>
      <w:r w:rsidR="00C67A3B">
        <w:rPr>
          <w:rFonts w:cstheme="minorHAnsi"/>
          <w:sz w:val="24"/>
          <w:szCs w:val="24"/>
          <w:shd w:val="clear" w:color="auto" w:fill="FFFFFF"/>
        </w:rPr>
        <w:t>s</w:t>
      </w:r>
      <w:r w:rsidRPr="000274FE">
        <w:rPr>
          <w:rFonts w:cstheme="minorHAnsi"/>
          <w:sz w:val="24"/>
          <w:szCs w:val="24"/>
          <w:shd w:val="clear" w:color="auto" w:fill="FFFFFF"/>
        </w:rPr>
        <w:t xml:space="preserve"> at the end of 2022. </w:t>
      </w:r>
      <w:r w:rsidR="00D97935" w:rsidRPr="000274FE">
        <w:rPr>
          <w:rFonts w:cstheme="minorHAnsi"/>
          <w:sz w:val="24"/>
          <w:szCs w:val="24"/>
          <w:shd w:val="clear" w:color="auto" w:fill="FFFFFF"/>
        </w:rPr>
        <w:t xml:space="preserve"> </w:t>
      </w:r>
      <w:r w:rsidRPr="000274FE">
        <w:rPr>
          <w:rFonts w:cstheme="minorHAnsi"/>
          <w:sz w:val="24"/>
          <w:szCs w:val="24"/>
          <w:shd w:val="clear" w:color="auto" w:fill="FFFFFF"/>
        </w:rPr>
        <w:t xml:space="preserve">Other exemptions expire after 60 or 100 years. </w:t>
      </w:r>
      <w:r w:rsidR="00D97935" w:rsidRPr="000274FE">
        <w:rPr>
          <w:rFonts w:cstheme="minorHAnsi"/>
          <w:sz w:val="24"/>
          <w:szCs w:val="24"/>
          <w:shd w:val="clear" w:color="auto" w:fill="FFFFFF"/>
        </w:rPr>
        <w:t xml:space="preserve"> </w:t>
      </w:r>
      <w:r w:rsidRPr="000274FE">
        <w:rPr>
          <w:rFonts w:cstheme="minorHAnsi"/>
          <w:sz w:val="24"/>
          <w:szCs w:val="24"/>
          <w:shd w:val="clear" w:color="auto" w:fill="FFFFFF"/>
        </w:rPr>
        <w:t>A full list of these can be found in section 63 of the Act.</w:t>
      </w:r>
    </w:p>
    <w:p w14:paraId="23065E67" w14:textId="2DD06A15" w:rsidR="00142937" w:rsidRPr="000274FE" w:rsidRDefault="00142937" w:rsidP="00142937">
      <w:pPr>
        <w:pStyle w:val="Heading2"/>
        <w:rPr>
          <w:rFonts w:cstheme="minorHAnsi"/>
          <w:sz w:val="24"/>
          <w:szCs w:val="24"/>
        </w:rPr>
      </w:pPr>
      <w:r w:rsidRPr="000274FE">
        <w:rPr>
          <w:rFonts w:cstheme="minorHAnsi"/>
          <w:color w:val="000000"/>
          <w:sz w:val="24"/>
          <w:szCs w:val="24"/>
          <w:shd w:val="clear" w:color="auto" w:fill="FFFFFF"/>
        </w:rPr>
        <w:t xml:space="preserve">When deciding </w:t>
      </w:r>
      <w:proofErr w:type="gramStart"/>
      <w:r w:rsidRPr="000274FE">
        <w:rPr>
          <w:rFonts w:cstheme="minorHAnsi"/>
          <w:color w:val="000000"/>
          <w:sz w:val="24"/>
          <w:szCs w:val="24"/>
          <w:shd w:val="clear" w:color="auto" w:fill="FFFFFF"/>
        </w:rPr>
        <w:t>whether or not</w:t>
      </w:r>
      <w:proofErr w:type="gramEnd"/>
      <w:r w:rsidRPr="000274FE">
        <w:rPr>
          <w:rFonts w:cstheme="minorHAnsi"/>
          <w:color w:val="000000"/>
          <w:sz w:val="24"/>
          <w:szCs w:val="24"/>
          <w:shd w:val="clear" w:color="auto" w:fill="FFFFFF"/>
        </w:rPr>
        <w:t xml:space="preserve"> an exemption applies, </w:t>
      </w:r>
      <w:r w:rsidR="00D97935" w:rsidRPr="000274FE">
        <w:rPr>
          <w:rFonts w:cstheme="minorHAnsi"/>
          <w:color w:val="000000"/>
          <w:sz w:val="24"/>
          <w:szCs w:val="24"/>
          <w:shd w:val="clear" w:color="auto" w:fill="FFFFFF"/>
        </w:rPr>
        <w:t>the Practice will</w:t>
      </w:r>
      <w:r w:rsidRPr="000274FE">
        <w:rPr>
          <w:rFonts w:cstheme="minorHAnsi"/>
          <w:color w:val="000000"/>
          <w:sz w:val="24"/>
          <w:szCs w:val="24"/>
          <w:shd w:val="clear" w:color="auto" w:fill="FFFFFF"/>
        </w:rPr>
        <w:t xml:space="preserve"> need to consider what information is already in the public domain.</w:t>
      </w:r>
      <w:r w:rsidR="00D97935"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 If the requested information or similar information is already publicly available, then this may affect:</w:t>
      </w:r>
    </w:p>
    <w:p w14:paraId="466049B8" w14:textId="39B9C348" w:rsidR="00142937" w:rsidRPr="000274FE" w:rsidRDefault="00D97935" w:rsidP="000864F9">
      <w:pPr>
        <w:pStyle w:val="ListBullet3"/>
        <w:rPr>
          <w:sz w:val="24"/>
          <w:szCs w:val="24"/>
        </w:rPr>
      </w:pPr>
      <w:r w:rsidRPr="000274FE">
        <w:rPr>
          <w:sz w:val="24"/>
          <w:szCs w:val="24"/>
        </w:rPr>
        <w:t>w</w:t>
      </w:r>
      <w:r w:rsidR="00142937" w:rsidRPr="000274FE">
        <w:rPr>
          <w:sz w:val="24"/>
          <w:szCs w:val="24"/>
        </w:rPr>
        <w:t xml:space="preserve">hether the requested disclosure will still cause </w:t>
      </w:r>
      <w:proofErr w:type="gramStart"/>
      <w:r w:rsidR="00142937" w:rsidRPr="000274FE">
        <w:rPr>
          <w:sz w:val="24"/>
          <w:szCs w:val="24"/>
        </w:rPr>
        <w:t>prejudice;</w:t>
      </w:r>
      <w:proofErr w:type="gramEnd"/>
    </w:p>
    <w:p w14:paraId="76F8E970" w14:textId="69D21A0C" w:rsidR="00142937" w:rsidRPr="000274FE" w:rsidRDefault="00D97935" w:rsidP="000864F9">
      <w:pPr>
        <w:pStyle w:val="ListBullet3"/>
        <w:rPr>
          <w:sz w:val="24"/>
          <w:szCs w:val="24"/>
        </w:rPr>
      </w:pPr>
      <w:r w:rsidRPr="000274FE">
        <w:rPr>
          <w:sz w:val="24"/>
          <w:szCs w:val="24"/>
        </w:rPr>
        <w:t>w</w:t>
      </w:r>
      <w:r w:rsidR="00142937" w:rsidRPr="000274FE">
        <w:rPr>
          <w:sz w:val="24"/>
          <w:szCs w:val="24"/>
        </w:rPr>
        <w:t xml:space="preserve">hether the test for applying a class-based exemption is still </w:t>
      </w:r>
      <w:proofErr w:type="gramStart"/>
      <w:r w:rsidR="00142937" w:rsidRPr="000274FE">
        <w:rPr>
          <w:sz w:val="24"/>
          <w:szCs w:val="24"/>
        </w:rPr>
        <w:t>met;</w:t>
      </w:r>
      <w:proofErr w:type="gramEnd"/>
    </w:p>
    <w:p w14:paraId="46206679" w14:textId="1C6C009F" w:rsidR="00142937" w:rsidRPr="000274FE" w:rsidRDefault="00D97935" w:rsidP="000864F9">
      <w:pPr>
        <w:pStyle w:val="ListBullet3"/>
        <w:rPr>
          <w:sz w:val="24"/>
          <w:szCs w:val="24"/>
        </w:rPr>
      </w:pPr>
      <w:r w:rsidRPr="000274FE">
        <w:rPr>
          <w:sz w:val="24"/>
          <w:szCs w:val="24"/>
        </w:rPr>
        <w:t>w</w:t>
      </w:r>
      <w:r w:rsidR="00142937" w:rsidRPr="000274FE">
        <w:rPr>
          <w:sz w:val="24"/>
          <w:szCs w:val="24"/>
        </w:rPr>
        <w:t>here the balance of the public interest lies</w:t>
      </w:r>
      <w:r w:rsidRPr="000274FE">
        <w:rPr>
          <w:sz w:val="24"/>
          <w:szCs w:val="24"/>
        </w:rPr>
        <w:t>.</w:t>
      </w:r>
    </w:p>
    <w:p w14:paraId="6408024D" w14:textId="77777777" w:rsidR="00142937" w:rsidRPr="000274FE" w:rsidRDefault="00142937" w:rsidP="00273668">
      <w:pPr>
        <w:pStyle w:val="Heading1"/>
        <w:rPr>
          <w:shd w:val="clear" w:color="auto" w:fill="FFFFFF"/>
        </w:rPr>
      </w:pPr>
      <w:r w:rsidRPr="000274FE">
        <w:rPr>
          <w:shd w:val="clear" w:color="auto" w:fill="FFFFFF"/>
        </w:rPr>
        <w:t xml:space="preserve">explaining exemptions and Refusal Notices </w:t>
      </w:r>
    </w:p>
    <w:p w14:paraId="224D35B7" w14:textId="73E9E3F6" w:rsidR="00142937" w:rsidRPr="000274FE" w:rsidRDefault="00142937" w:rsidP="00142937">
      <w:pPr>
        <w:pStyle w:val="Heading2"/>
        <w:rPr>
          <w:rFonts w:cstheme="minorHAnsi"/>
          <w:sz w:val="24"/>
          <w:szCs w:val="24"/>
          <w:shd w:val="clear" w:color="auto" w:fill="FFFFFF"/>
        </w:rPr>
      </w:pPr>
      <w:r w:rsidRPr="000274FE">
        <w:rPr>
          <w:rFonts w:cstheme="minorHAnsi"/>
          <w:sz w:val="24"/>
          <w:szCs w:val="24"/>
          <w:shd w:val="clear" w:color="auto" w:fill="FFFFFF"/>
        </w:rPr>
        <w:t xml:space="preserve">If the Practice is relying on an exemption, a written refusal notice </w:t>
      </w:r>
      <w:r w:rsidR="00D97935" w:rsidRPr="000274FE">
        <w:rPr>
          <w:rFonts w:cstheme="minorHAnsi"/>
          <w:sz w:val="24"/>
          <w:szCs w:val="24"/>
          <w:shd w:val="clear" w:color="auto" w:fill="FFFFFF"/>
        </w:rPr>
        <w:t xml:space="preserve">must be issued </w:t>
      </w:r>
      <w:r w:rsidRPr="000274FE">
        <w:rPr>
          <w:rFonts w:cstheme="minorHAnsi"/>
          <w:sz w:val="24"/>
          <w:szCs w:val="24"/>
          <w:shd w:val="clear" w:color="auto" w:fill="FFFFFF"/>
        </w:rPr>
        <w:t xml:space="preserve">within the standard time for compliance, specifying which exemptions </w:t>
      </w:r>
      <w:r w:rsidR="00D97935" w:rsidRPr="000274FE">
        <w:rPr>
          <w:rFonts w:cstheme="minorHAnsi"/>
          <w:sz w:val="24"/>
          <w:szCs w:val="24"/>
          <w:shd w:val="clear" w:color="auto" w:fill="FFFFFF"/>
        </w:rPr>
        <w:t>are being relied</w:t>
      </w:r>
      <w:r w:rsidRPr="000274FE">
        <w:rPr>
          <w:rFonts w:cstheme="minorHAnsi"/>
          <w:sz w:val="24"/>
          <w:szCs w:val="24"/>
          <w:shd w:val="clear" w:color="auto" w:fill="FFFFFF"/>
        </w:rPr>
        <w:t xml:space="preserve"> on and why.</w:t>
      </w:r>
    </w:p>
    <w:p w14:paraId="07127CFC" w14:textId="55FD1F55" w:rsidR="00142937" w:rsidRPr="000274FE" w:rsidRDefault="00142937" w:rsidP="00142937">
      <w:pPr>
        <w:pStyle w:val="Heading2"/>
        <w:rPr>
          <w:rFonts w:cstheme="minorHAnsi"/>
          <w:sz w:val="24"/>
          <w:szCs w:val="24"/>
        </w:rPr>
      </w:pPr>
      <w:r w:rsidRPr="000274FE">
        <w:rPr>
          <w:rFonts w:cstheme="minorHAnsi"/>
          <w:color w:val="000000"/>
          <w:sz w:val="24"/>
          <w:szCs w:val="24"/>
          <w:shd w:val="clear" w:color="auto" w:fill="FFFFFF"/>
        </w:rPr>
        <w:t>If a public interest test</w:t>
      </w:r>
      <w:r w:rsidR="00D97935" w:rsidRPr="000274FE">
        <w:rPr>
          <w:rFonts w:cstheme="minorHAnsi"/>
          <w:color w:val="000000"/>
          <w:sz w:val="24"/>
          <w:szCs w:val="24"/>
          <w:shd w:val="clear" w:color="auto" w:fill="FFFFFF"/>
        </w:rPr>
        <w:t xml:space="preserve"> has already been done</w:t>
      </w:r>
      <w:r w:rsidRPr="000274FE">
        <w:rPr>
          <w:rFonts w:cstheme="minorHAnsi"/>
          <w:color w:val="000000"/>
          <w:sz w:val="24"/>
          <w:szCs w:val="24"/>
          <w:shd w:val="clear" w:color="auto" w:fill="FFFFFF"/>
        </w:rPr>
        <w:t xml:space="preserve">, </w:t>
      </w:r>
      <w:r w:rsidR="00D97935" w:rsidRPr="000274FE">
        <w:rPr>
          <w:rFonts w:cstheme="minorHAnsi"/>
          <w:color w:val="000000"/>
          <w:sz w:val="24"/>
          <w:szCs w:val="24"/>
          <w:shd w:val="clear" w:color="auto" w:fill="FFFFFF"/>
        </w:rPr>
        <w:t>it should be explained</w:t>
      </w:r>
      <w:r w:rsidRPr="000274FE">
        <w:rPr>
          <w:rFonts w:cstheme="minorHAnsi"/>
          <w:color w:val="000000"/>
          <w:sz w:val="24"/>
          <w:szCs w:val="24"/>
          <w:shd w:val="clear" w:color="auto" w:fill="FFFFFF"/>
        </w:rPr>
        <w:t xml:space="preserve"> why </w:t>
      </w:r>
      <w:r w:rsidR="00D97935" w:rsidRPr="000274FE">
        <w:rPr>
          <w:rFonts w:cstheme="minorHAnsi"/>
          <w:color w:val="000000"/>
          <w:sz w:val="24"/>
          <w:szCs w:val="24"/>
          <w:shd w:val="clear" w:color="auto" w:fill="FFFFFF"/>
        </w:rPr>
        <w:t>the Practice has</w:t>
      </w:r>
      <w:r w:rsidRPr="000274FE">
        <w:rPr>
          <w:rFonts w:cstheme="minorHAnsi"/>
          <w:color w:val="000000"/>
          <w:sz w:val="24"/>
          <w:szCs w:val="24"/>
          <w:shd w:val="clear" w:color="auto" w:fill="FFFFFF"/>
        </w:rPr>
        <w:t xml:space="preserve"> reached the conclusion that the public interest in maintaining the exemption outweighs the public interest in disclosure.</w:t>
      </w:r>
    </w:p>
    <w:p w14:paraId="6B51784E" w14:textId="7054A16C" w:rsidR="00142937" w:rsidRPr="000274FE" w:rsidRDefault="00142937" w:rsidP="00142937">
      <w:pPr>
        <w:pStyle w:val="Heading2"/>
        <w:rPr>
          <w:rFonts w:cstheme="minorHAnsi"/>
          <w:sz w:val="24"/>
          <w:szCs w:val="24"/>
        </w:rPr>
      </w:pPr>
      <w:r w:rsidRPr="000274FE">
        <w:rPr>
          <w:rFonts w:cstheme="minorHAnsi"/>
          <w:color w:val="000000"/>
          <w:sz w:val="24"/>
          <w:szCs w:val="24"/>
          <w:shd w:val="clear" w:color="auto" w:fill="FFFFFF"/>
        </w:rPr>
        <w:t xml:space="preserve">If the Practice is claiming extra time to consider the public interest test, a final refusal notice </w:t>
      </w:r>
      <w:r w:rsidR="00D97935" w:rsidRPr="000274FE">
        <w:rPr>
          <w:rFonts w:cstheme="minorHAnsi"/>
          <w:color w:val="000000"/>
          <w:sz w:val="24"/>
          <w:szCs w:val="24"/>
          <w:shd w:val="clear" w:color="auto" w:fill="FFFFFF"/>
        </w:rPr>
        <w:t xml:space="preserve">will not be provided </w:t>
      </w:r>
      <w:r w:rsidRPr="000274FE">
        <w:rPr>
          <w:rFonts w:cstheme="minorHAnsi"/>
          <w:color w:val="000000"/>
          <w:sz w:val="24"/>
          <w:szCs w:val="24"/>
          <w:shd w:val="clear" w:color="auto" w:fill="FFFFFF"/>
        </w:rPr>
        <w:t xml:space="preserve">at this stage, but </w:t>
      </w:r>
      <w:r w:rsidR="00D97935" w:rsidRPr="000274FE">
        <w:rPr>
          <w:rFonts w:cstheme="minorHAnsi"/>
          <w:color w:val="000000"/>
          <w:sz w:val="24"/>
          <w:szCs w:val="24"/>
          <w:shd w:val="clear" w:color="auto" w:fill="FFFFFF"/>
        </w:rPr>
        <w:t xml:space="preserve">the Practice </w:t>
      </w:r>
      <w:r w:rsidR="0042505E" w:rsidRPr="000274FE">
        <w:rPr>
          <w:rFonts w:cstheme="minorHAnsi"/>
          <w:color w:val="000000"/>
          <w:sz w:val="24"/>
          <w:szCs w:val="24"/>
          <w:shd w:val="clear" w:color="auto" w:fill="FFFFFF"/>
        </w:rPr>
        <w:t xml:space="preserve">should </w:t>
      </w:r>
      <w:r w:rsidR="00D97935" w:rsidRPr="000274FE">
        <w:rPr>
          <w:rFonts w:cstheme="minorHAnsi"/>
          <w:color w:val="000000"/>
          <w:sz w:val="24"/>
          <w:szCs w:val="24"/>
          <w:shd w:val="clear" w:color="auto" w:fill="FFFFFF"/>
        </w:rPr>
        <w:t>explain</w:t>
      </w:r>
      <w:r w:rsidRPr="000274FE">
        <w:rPr>
          <w:rFonts w:cstheme="minorHAnsi"/>
          <w:color w:val="000000"/>
          <w:sz w:val="24"/>
          <w:szCs w:val="24"/>
          <w:shd w:val="clear" w:color="auto" w:fill="FFFFFF"/>
        </w:rPr>
        <w:t xml:space="preserve"> which exemptions are </w:t>
      </w:r>
      <w:r w:rsidR="00D97935" w:rsidRPr="000274FE">
        <w:rPr>
          <w:rFonts w:cstheme="minorHAnsi"/>
          <w:color w:val="000000"/>
          <w:sz w:val="24"/>
          <w:szCs w:val="24"/>
          <w:shd w:val="clear" w:color="auto" w:fill="FFFFFF"/>
        </w:rPr>
        <w:t xml:space="preserve">being </w:t>
      </w:r>
      <w:r w:rsidRPr="000274FE">
        <w:rPr>
          <w:rFonts w:cstheme="minorHAnsi"/>
          <w:color w:val="000000"/>
          <w:sz w:val="24"/>
          <w:szCs w:val="24"/>
          <w:shd w:val="clear" w:color="auto" w:fill="FFFFFF"/>
        </w:rPr>
        <w:t>rel</w:t>
      </w:r>
      <w:r w:rsidR="00D97935" w:rsidRPr="000274FE">
        <w:rPr>
          <w:rFonts w:cstheme="minorHAnsi"/>
          <w:color w:val="000000"/>
          <w:sz w:val="24"/>
          <w:szCs w:val="24"/>
          <w:shd w:val="clear" w:color="auto" w:fill="FFFFFF"/>
        </w:rPr>
        <w:t>ied</w:t>
      </w:r>
      <w:r w:rsidRPr="000274FE">
        <w:rPr>
          <w:rFonts w:cstheme="minorHAnsi"/>
          <w:color w:val="000000"/>
          <w:sz w:val="24"/>
          <w:szCs w:val="24"/>
          <w:shd w:val="clear" w:color="auto" w:fill="FFFFFF"/>
        </w:rPr>
        <w:t xml:space="preserve"> on. </w:t>
      </w:r>
      <w:r w:rsidR="00D97935"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If </w:t>
      </w:r>
      <w:r w:rsidR="00D97935" w:rsidRPr="000274FE">
        <w:rPr>
          <w:rFonts w:cstheme="minorHAnsi"/>
          <w:color w:val="000000"/>
          <w:sz w:val="24"/>
          <w:szCs w:val="24"/>
          <w:shd w:val="clear" w:color="auto" w:fill="FFFFFF"/>
        </w:rPr>
        <w:t xml:space="preserve">the </w:t>
      </w:r>
      <w:r w:rsidRPr="000274FE">
        <w:rPr>
          <w:rFonts w:cstheme="minorHAnsi"/>
          <w:color w:val="000000"/>
          <w:sz w:val="24"/>
          <w:szCs w:val="24"/>
          <w:shd w:val="clear" w:color="auto" w:fill="FFFFFF"/>
        </w:rPr>
        <w:t>final decision is to withhold all or part of the information, a second refusal notice</w:t>
      </w:r>
      <w:r w:rsidR="00D97935" w:rsidRPr="000274FE">
        <w:rPr>
          <w:rFonts w:cstheme="minorHAnsi"/>
          <w:color w:val="000000"/>
          <w:sz w:val="24"/>
          <w:szCs w:val="24"/>
          <w:shd w:val="clear" w:color="auto" w:fill="FFFFFF"/>
        </w:rPr>
        <w:t xml:space="preserve"> will need to be sent </w:t>
      </w:r>
      <w:r w:rsidRPr="000274FE">
        <w:rPr>
          <w:rFonts w:cstheme="minorHAnsi"/>
          <w:color w:val="000000"/>
          <w:sz w:val="24"/>
          <w:szCs w:val="24"/>
          <w:shd w:val="clear" w:color="auto" w:fill="FFFFFF"/>
        </w:rPr>
        <w:t>to explain the conclusion on the public interest test.</w:t>
      </w:r>
    </w:p>
    <w:p w14:paraId="2F814159" w14:textId="11AD4F52" w:rsidR="00142937" w:rsidRPr="000274FE" w:rsidRDefault="00142937" w:rsidP="00142937">
      <w:pPr>
        <w:pStyle w:val="Heading2"/>
        <w:rPr>
          <w:rFonts w:cstheme="minorHAnsi"/>
          <w:sz w:val="24"/>
          <w:szCs w:val="24"/>
        </w:rPr>
      </w:pPr>
      <w:r w:rsidRPr="000274FE">
        <w:rPr>
          <w:rFonts w:cstheme="minorHAnsi"/>
          <w:color w:val="000000"/>
          <w:sz w:val="24"/>
          <w:szCs w:val="24"/>
          <w:shd w:val="clear" w:color="auto" w:fill="FFFFFF"/>
        </w:rPr>
        <w:t xml:space="preserve">If </w:t>
      </w:r>
      <w:r w:rsidR="006F1945" w:rsidRPr="000274FE">
        <w:rPr>
          <w:rFonts w:cstheme="minorHAnsi"/>
          <w:color w:val="000000"/>
          <w:sz w:val="24"/>
          <w:szCs w:val="24"/>
          <w:shd w:val="clear" w:color="auto" w:fill="FFFFFF"/>
        </w:rPr>
        <w:t xml:space="preserve">the Practice is </w:t>
      </w:r>
      <w:r w:rsidRPr="000274FE">
        <w:rPr>
          <w:rFonts w:cstheme="minorHAnsi"/>
          <w:color w:val="000000"/>
          <w:sz w:val="24"/>
          <w:szCs w:val="24"/>
          <w:shd w:val="clear" w:color="auto" w:fill="FFFFFF"/>
        </w:rPr>
        <w:t xml:space="preserve">withholding information but </w:t>
      </w:r>
      <w:r w:rsidR="006F1945" w:rsidRPr="000274FE">
        <w:rPr>
          <w:rFonts w:cstheme="minorHAnsi"/>
          <w:color w:val="000000"/>
          <w:sz w:val="24"/>
          <w:szCs w:val="24"/>
          <w:shd w:val="clear" w:color="auto" w:fill="FFFFFF"/>
        </w:rPr>
        <w:t>is</w:t>
      </w:r>
      <w:r w:rsidRPr="000274FE">
        <w:rPr>
          <w:rFonts w:cstheme="minorHAnsi"/>
          <w:color w:val="000000"/>
          <w:sz w:val="24"/>
          <w:szCs w:val="24"/>
          <w:shd w:val="clear" w:color="auto" w:fill="FFFFFF"/>
        </w:rPr>
        <w:t xml:space="preserve"> still required to reveal that the information</w:t>
      </w:r>
      <w:r w:rsidR="006F1945" w:rsidRPr="000274FE">
        <w:rPr>
          <w:rFonts w:cstheme="minorHAnsi"/>
          <w:color w:val="000000"/>
          <w:sz w:val="24"/>
          <w:szCs w:val="24"/>
          <w:shd w:val="clear" w:color="auto" w:fill="FFFFFF"/>
        </w:rPr>
        <w:t xml:space="preserve"> is held</w:t>
      </w:r>
      <w:r w:rsidRPr="000274FE">
        <w:rPr>
          <w:rFonts w:cstheme="minorHAnsi"/>
          <w:color w:val="000000"/>
          <w:sz w:val="24"/>
          <w:szCs w:val="24"/>
          <w:shd w:val="clear" w:color="auto" w:fill="FFFFFF"/>
        </w:rPr>
        <w:t xml:space="preserve">, </w:t>
      </w:r>
      <w:r w:rsidR="006F1945" w:rsidRPr="000274FE">
        <w:rPr>
          <w:rFonts w:cstheme="minorHAnsi"/>
          <w:color w:val="000000"/>
          <w:sz w:val="24"/>
          <w:szCs w:val="24"/>
          <w:shd w:val="clear" w:color="auto" w:fill="FFFFFF"/>
        </w:rPr>
        <w:t>it</w:t>
      </w:r>
      <w:r w:rsidRPr="000274FE">
        <w:rPr>
          <w:rFonts w:cstheme="minorHAnsi"/>
          <w:color w:val="000000"/>
          <w:sz w:val="24"/>
          <w:szCs w:val="24"/>
          <w:shd w:val="clear" w:color="auto" w:fill="FFFFFF"/>
        </w:rPr>
        <w:t xml:space="preserve"> must also remember to do this.</w:t>
      </w:r>
    </w:p>
    <w:p w14:paraId="0CB4B44C" w14:textId="3C024523" w:rsidR="00142937" w:rsidRPr="000274FE" w:rsidRDefault="00142937" w:rsidP="00142937">
      <w:pPr>
        <w:pStyle w:val="Heading2"/>
        <w:rPr>
          <w:rFonts w:cstheme="minorHAnsi"/>
          <w:sz w:val="24"/>
          <w:szCs w:val="24"/>
        </w:rPr>
      </w:pPr>
      <w:r w:rsidRPr="000274FE">
        <w:rPr>
          <w:rFonts w:cstheme="minorHAnsi"/>
          <w:color w:val="000000"/>
          <w:sz w:val="24"/>
          <w:szCs w:val="24"/>
          <w:shd w:val="clear" w:color="auto" w:fill="FFFFFF"/>
        </w:rPr>
        <w:t xml:space="preserve">The Practice must refuse requests in writing promptly or within 20 working days (or the standard time for compliance) of receiving it. </w:t>
      </w:r>
      <w:r w:rsidR="006F1945"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In the refusal notice </w:t>
      </w:r>
      <w:r w:rsidR="006F1945" w:rsidRPr="000274FE">
        <w:rPr>
          <w:rFonts w:cstheme="minorHAnsi"/>
          <w:color w:val="000000"/>
          <w:sz w:val="24"/>
          <w:szCs w:val="24"/>
          <w:shd w:val="clear" w:color="auto" w:fill="FFFFFF"/>
        </w:rPr>
        <w:t>the Practice must</w:t>
      </w:r>
      <w:r w:rsidRPr="000274FE">
        <w:rPr>
          <w:rFonts w:cstheme="minorHAnsi"/>
          <w:color w:val="000000"/>
          <w:sz w:val="24"/>
          <w:szCs w:val="24"/>
          <w:shd w:val="clear" w:color="auto" w:fill="FFFFFF"/>
        </w:rPr>
        <w:t>:</w:t>
      </w:r>
    </w:p>
    <w:p w14:paraId="0B758D99" w14:textId="6C2A85A3" w:rsidR="00142937" w:rsidRPr="000274FE" w:rsidRDefault="006F1945" w:rsidP="000864F9">
      <w:pPr>
        <w:pStyle w:val="ListBullet3"/>
        <w:rPr>
          <w:sz w:val="24"/>
          <w:szCs w:val="24"/>
        </w:rPr>
      </w:pPr>
      <w:r w:rsidRPr="000274FE">
        <w:rPr>
          <w:sz w:val="24"/>
          <w:szCs w:val="24"/>
        </w:rPr>
        <w:t>e</w:t>
      </w:r>
      <w:r w:rsidR="00142937" w:rsidRPr="000274FE">
        <w:rPr>
          <w:sz w:val="24"/>
          <w:szCs w:val="24"/>
        </w:rPr>
        <w:t xml:space="preserve">xplain what provision of the Act </w:t>
      </w:r>
      <w:r w:rsidRPr="000274FE">
        <w:rPr>
          <w:sz w:val="24"/>
          <w:szCs w:val="24"/>
        </w:rPr>
        <w:t>it is</w:t>
      </w:r>
      <w:r w:rsidR="00142937" w:rsidRPr="000274FE">
        <w:rPr>
          <w:sz w:val="24"/>
          <w:szCs w:val="24"/>
        </w:rPr>
        <w:t xml:space="preserve"> relying onto refuse the request and </w:t>
      </w:r>
      <w:proofErr w:type="gramStart"/>
      <w:r w:rsidR="00142937" w:rsidRPr="000274FE">
        <w:rPr>
          <w:sz w:val="24"/>
          <w:szCs w:val="24"/>
        </w:rPr>
        <w:t>why;</w:t>
      </w:r>
      <w:proofErr w:type="gramEnd"/>
    </w:p>
    <w:p w14:paraId="37C5CCB9" w14:textId="2907D39B" w:rsidR="00142937" w:rsidRPr="000274FE" w:rsidRDefault="00C67A3B" w:rsidP="000864F9">
      <w:pPr>
        <w:pStyle w:val="ListBullet3"/>
        <w:rPr>
          <w:sz w:val="24"/>
          <w:szCs w:val="24"/>
        </w:rPr>
      </w:pPr>
      <w:r>
        <w:rPr>
          <w:sz w:val="24"/>
          <w:szCs w:val="24"/>
        </w:rPr>
        <w:t>g</w:t>
      </w:r>
      <w:r w:rsidR="00142937" w:rsidRPr="000274FE">
        <w:rPr>
          <w:sz w:val="24"/>
          <w:szCs w:val="24"/>
        </w:rPr>
        <w:t xml:space="preserve">ive details of any internal review (complaints) procedure </w:t>
      </w:r>
      <w:r>
        <w:rPr>
          <w:sz w:val="24"/>
          <w:szCs w:val="24"/>
        </w:rPr>
        <w:t>offered</w:t>
      </w:r>
      <w:r w:rsidR="00142937" w:rsidRPr="000274FE">
        <w:rPr>
          <w:sz w:val="24"/>
          <w:szCs w:val="24"/>
        </w:rPr>
        <w:t xml:space="preserve"> or state that </w:t>
      </w:r>
      <w:r>
        <w:rPr>
          <w:sz w:val="24"/>
          <w:szCs w:val="24"/>
        </w:rPr>
        <w:t>there isn’t</w:t>
      </w:r>
      <w:r w:rsidR="00142937" w:rsidRPr="000274FE">
        <w:rPr>
          <w:sz w:val="24"/>
          <w:szCs w:val="24"/>
        </w:rPr>
        <w:t xml:space="preserve"> one; and</w:t>
      </w:r>
    </w:p>
    <w:p w14:paraId="3A4B9A24" w14:textId="2C4DBA1A" w:rsidR="00142937" w:rsidRPr="000274FE" w:rsidRDefault="00C67A3B" w:rsidP="000864F9">
      <w:pPr>
        <w:pStyle w:val="ListBullet3"/>
        <w:rPr>
          <w:sz w:val="24"/>
          <w:szCs w:val="24"/>
        </w:rPr>
      </w:pPr>
      <w:r>
        <w:rPr>
          <w:sz w:val="24"/>
          <w:szCs w:val="24"/>
        </w:rPr>
        <w:t>e</w:t>
      </w:r>
      <w:r w:rsidR="00142937" w:rsidRPr="000274FE">
        <w:rPr>
          <w:sz w:val="24"/>
          <w:szCs w:val="24"/>
        </w:rPr>
        <w:t>xplain the requester’s right to complain to the ICO, including contact details</w:t>
      </w:r>
      <w:r>
        <w:rPr>
          <w:sz w:val="24"/>
          <w:szCs w:val="24"/>
        </w:rPr>
        <w:t>.</w:t>
      </w:r>
    </w:p>
    <w:p w14:paraId="0165351E" w14:textId="15E31053" w:rsidR="00142937" w:rsidRPr="000274FE" w:rsidRDefault="00142937" w:rsidP="00142937">
      <w:pPr>
        <w:pStyle w:val="Heading2"/>
        <w:rPr>
          <w:rFonts w:cstheme="minorHAnsi"/>
          <w:sz w:val="24"/>
          <w:szCs w:val="24"/>
          <w:shd w:val="clear" w:color="auto" w:fill="FFFFFF"/>
        </w:rPr>
      </w:pPr>
      <w:r w:rsidRPr="000274FE">
        <w:rPr>
          <w:rFonts w:cstheme="minorHAnsi"/>
          <w:sz w:val="24"/>
          <w:szCs w:val="24"/>
          <w:shd w:val="clear" w:color="auto" w:fill="FFFFFF"/>
        </w:rPr>
        <w:t xml:space="preserve">Often information can be withheld only some of the information requested. </w:t>
      </w:r>
      <w:r w:rsidR="0042505E" w:rsidRPr="000274FE">
        <w:rPr>
          <w:rFonts w:cstheme="minorHAnsi"/>
          <w:sz w:val="24"/>
          <w:szCs w:val="24"/>
          <w:shd w:val="clear" w:color="auto" w:fill="FFFFFF"/>
        </w:rPr>
        <w:t xml:space="preserve"> </w:t>
      </w:r>
      <w:r w:rsidRPr="000274FE">
        <w:rPr>
          <w:rFonts w:cstheme="minorHAnsi"/>
          <w:sz w:val="24"/>
          <w:szCs w:val="24"/>
          <w:shd w:val="clear" w:color="auto" w:fill="FFFFFF"/>
        </w:rPr>
        <w:t xml:space="preserve">In many cases, some sections of a document </w:t>
      </w:r>
      <w:r w:rsidR="0042505E" w:rsidRPr="000274FE">
        <w:rPr>
          <w:rFonts w:cstheme="minorHAnsi"/>
          <w:sz w:val="24"/>
          <w:szCs w:val="24"/>
          <w:shd w:val="clear" w:color="auto" w:fill="FFFFFF"/>
        </w:rPr>
        <w:t xml:space="preserve">can be disclosed </w:t>
      </w:r>
      <w:r w:rsidRPr="000274FE">
        <w:rPr>
          <w:rFonts w:cstheme="minorHAnsi"/>
          <w:sz w:val="24"/>
          <w:szCs w:val="24"/>
          <w:shd w:val="clear" w:color="auto" w:fill="FFFFFF"/>
        </w:rPr>
        <w:t xml:space="preserve">but not others, or </w:t>
      </w:r>
      <w:r w:rsidR="0042505E" w:rsidRPr="000274FE">
        <w:rPr>
          <w:rFonts w:cstheme="minorHAnsi"/>
          <w:sz w:val="24"/>
          <w:szCs w:val="24"/>
          <w:shd w:val="clear" w:color="auto" w:fill="FFFFFF"/>
        </w:rPr>
        <w:t>it may be possible</w:t>
      </w:r>
      <w:r w:rsidRPr="000274FE">
        <w:rPr>
          <w:rFonts w:cstheme="minorHAnsi"/>
          <w:sz w:val="24"/>
          <w:szCs w:val="24"/>
          <w:shd w:val="clear" w:color="auto" w:fill="FFFFFF"/>
        </w:rPr>
        <w:t xml:space="preserve"> to release documents after redacting.</w:t>
      </w:r>
    </w:p>
    <w:p w14:paraId="22B371CE" w14:textId="42F60D8E" w:rsidR="00142937" w:rsidRPr="000274FE" w:rsidRDefault="00142937" w:rsidP="00142937">
      <w:pPr>
        <w:pStyle w:val="Heading2"/>
        <w:rPr>
          <w:rFonts w:cstheme="minorHAnsi"/>
          <w:sz w:val="24"/>
          <w:szCs w:val="24"/>
        </w:rPr>
      </w:pPr>
      <w:r w:rsidRPr="000274FE">
        <w:rPr>
          <w:rFonts w:cstheme="minorHAnsi"/>
          <w:color w:val="000000"/>
          <w:sz w:val="24"/>
          <w:szCs w:val="24"/>
          <w:shd w:val="clear" w:color="auto" w:fill="FFFFFF"/>
        </w:rPr>
        <w:t xml:space="preserve">The Act does not lay down any rules about redaction. </w:t>
      </w:r>
      <w:r w:rsidR="0042505E"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The following are guidelines for good practice: </w:t>
      </w:r>
    </w:p>
    <w:p w14:paraId="59219E43" w14:textId="7F2DE5E3" w:rsidR="00142937" w:rsidRPr="000274FE" w:rsidRDefault="0042505E" w:rsidP="000864F9">
      <w:pPr>
        <w:pStyle w:val="ListBullet3"/>
        <w:rPr>
          <w:sz w:val="24"/>
          <w:szCs w:val="24"/>
        </w:rPr>
      </w:pPr>
      <w:r w:rsidRPr="000274FE">
        <w:rPr>
          <w:sz w:val="24"/>
          <w:szCs w:val="24"/>
          <w:shd w:val="clear" w:color="auto" w:fill="FFFFFF"/>
        </w:rPr>
        <w:lastRenderedPageBreak/>
        <w:t>m</w:t>
      </w:r>
      <w:r w:rsidR="00142937" w:rsidRPr="000274FE">
        <w:rPr>
          <w:sz w:val="24"/>
          <w:szCs w:val="24"/>
          <w:shd w:val="clear" w:color="auto" w:fill="FFFFFF"/>
        </w:rPr>
        <w:t xml:space="preserve">ake sure redaction is not reversible. </w:t>
      </w:r>
      <w:r w:rsidRPr="000274FE">
        <w:rPr>
          <w:sz w:val="24"/>
          <w:szCs w:val="24"/>
          <w:shd w:val="clear" w:color="auto" w:fill="FFFFFF"/>
        </w:rPr>
        <w:t xml:space="preserve"> </w:t>
      </w:r>
      <w:r w:rsidR="00142937" w:rsidRPr="000274FE">
        <w:rPr>
          <w:sz w:val="24"/>
          <w:szCs w:val="24"/>
          <w:shd w:val="clear" w:color="auto" w:fill="FFFFFF"/>
        </w:rPr>
        <w:t xml:space="preserve">Words can sometimes be seen through black marker pen or correction fluid. </w:t>
      </w:r>
      <w:r w:rsidRPr="000274FE">
        <w:rPr>
          <w:sz w:val="24"/>
          <w:szCs w:val="24"/>
          <w:shd w:val="clear" w:color="auto" w:fill="FFFFFF"/>
        </w:rPr>
        <w:t xml:space="preserve"> </w:t>
      </w:r>
      <w:r w:rsidR="00142937" w:rsidRPr="000274FE">
        <w:rPr>
          <w:sz w:val="24"/>
          <w:szCs w:val="24"/>
          <w:shd w:val="clear" w:color="auto" w:fill="FFFFFF"/>
        </w:rPr>
        <w:t xml:space="preserve">On an electronic document, it is sometimes possible to reverse changes or to recover an earlier version to reveal the withheld information. </w:t>
      </w:r>
      <w:r w:rsidRPr="000274FE">
        <w:rPr>
          <w:sz w:val="24"/>
          <w:szCs w:val="24"/>
          <w:shd w:val="clear" w:color="auto" w:fill="FFFFFF"/>
        </w:rPr>
        <w:t xml:space="preserve"> </w:t>
      </w:r>
      <w:r w:rsidR="00142937" w:rsidRPr="000274FE">
        <w:rPr>
          <w:sz w:val="24"/>
          <w:szCs w:val="24"/>
          <w:shd w:val="clear" w:color="auto" w:fill="FFFFFF"/>
        </w:rPr>
        <w:t xml:space="preserve">Ensure that staff responding to requests understand how to use common software formats, and how to strip out any sensitive </w:t>
      </w:r>
      <w:proofErr w:type="gramStart"/>
      <w:r w:rsidR="00142937" w:rsidRPr="000274FE">
        <w:rPr>
          <w:sz w:val="24"/>
          <w:szCs w:val="24"/>
          <w:shd w:val="clear" w:color="auto" w:fill="FFFFFF"/>
        </w:rPr>
        <w:t>information</w:t>
      </w:r>
      <w:r w:rsidRPr="000274FE">
        <w:rPr>
          <w:sz w:val="24"/>
          <w:szCs w:val="24"/>
          <w:shd w:val="clear" w:color="auto" w:fill="FFFFFF"/>
        </w:rPr>
        <w:t>;</w:t>
      </w:r>
      <w:proofErr w:type="gramEnd"/>
    </w:p>
    <w:p w14:paraId="79C15F0B" w14:textId="0C9F41E0" w:rsidR="00142937" w:rsidRPr="000274FE" w:rsidRDefault="0042505E" w:rsidP="000864F9">
      <w:pPr>
        <w:pStyle w:val="ListBullet3"/>
        <w:rPr>
          <w:rFonts w:eastAsia="Times New Roman"/>
          <w:sz w:val="24"/>
          <w:szCs w:val="24"/>
          <w:lang w:eastAsia="en-GB"/>
        </w:rPr>
      </w:pPr>
      <w:proofErr w:type="gramStart"/>
      <w:r w:rsidRPr="000274FE">
        <w:rPr>
          <w:rFonts w:eastAsia="Times New Roman"/>
          <w:sz w:val="24"/>
          <w:szCs w:val="24"/>
          <w:lang w:eastAsia="en-GB"/>
        </w:rPr>
        <w:t>i</w:t>
      </w:r>
      <w:r w:rsidR="00142937" w:rsidRPr="000274FE">
        <w:rPr>
          <w:rFonts w:eastAsia="Times New Roman"/>
          <w:sz w:val="24"/>
          <w:szCs w:val="24"/>
          <w:lang w:eastAsia="en-GB"/>
        </w:rPr>
        <w:t xml:space="preserve">n particular, </w:t>
      </w:r>
      <w:r w:rsidRPr="000274FE">
        <w:rPr>
          <w:rFonts w:eastAsia="Times New Roman"/>
          <w:sz w:val="24"/>
          <w:szCs w:val="24"/>
          <w:lang w:eastAsia="en-GB"/>
        </w:rPr>
        <w:t>care</w:t>
      </w:r>
      <w:proofErr w:type="gramEnd"/>
      <w:r w:rsidRPr="000274FE">
        <w:rPr>
          <w:rFonts w:eastAsia="Times New Roman"/>
          <w:sz w:val="24"/>
          <w:szCs w:val="24"/>
          <w:lang w:eastAsia="en-GB"/>
        </w:rPr>
        <w:t xml:space="preserve"> should be taken</w:t>
      </w:r>
      <w:r w:rsidR="00142937" w:rsidRPr="000274FE">
        <w:rPr>
          <w:rFonts w:eastAsia="Times New Roman"/>
          <w:sz w:val="24"/>
          <w:szCs w:val="24"/>
          <w:lang w:eastAsia="en-GB"/>
        </w:rPr>
        <w:t xml:space="preserve"> when using pivot tables to anonymise data in a spreadsheet. </w:t>
      </w:r>
      <w:r w:rsidRPr="000274FE">
        <w:rPr>
          <w:rFonts w:eastAsia="Times New Roman"/>
          <w:sz w:val="24"/>
          <w:szCs w:val="24"/>
          <w:lang w:eastAsia="en-GB"/>
        </w:rPr>
        <w:t xml:space="preserve"> </w:t>
      </w:r>
      <w:r w:rsidR="00142937" w:rsidRPr="000274FE">
        <w:rPr>
          <w:rFonts w:eastAsia="Times New Roman"/>
          <w:sz w:val="24"/>
          <w:szCs w:val="24"/>
          <w:lang w:eastAsia="en-GB"/>
        </w:rPr>
        <w:t xml:space="preserve">The spreadsheet will usually still contain the detailed source data, even if this is hidden and not immediately visible at first glance. </w:t>
      </w:r>
      <w:r w:rsidRPr="000274FE">
        <w:rPr>
          <w:rFonts w:eastAsia="Times New Roman"/>
          <w:sz w:val="24"/>
          <w:szCs w:val="24"/>
          <w:lang w:eastAsia="en-GB"/>
        </w:rPr>
        <w:t xml:space="preserve"> </w:t>
      </w:r>
      <w:r w:rsidR="00142937" w:rsidRPr="000274FE">
        <w:rPr>
          <w:rFonts w:eastAsia="Times New Roman"/>
          <w:sz w:val="24"/>
          <w:szCs w:val="24"/>
          <w:lang w:eastAsia="en-GB"/>
        </w:rPr>
        <w:t xml:space="preserve">Consider converting the spreadsheet to a plain text format (such as CSV) if </w:t>
      </w:r>
      <w:proofErr w:type="gramStart"/>
      <w:r w:rsidR="00142937" w:rsidRPr="000274FE">
        <w:rPr>
          <w:rFonts w:eastAsia="Times New Roman"/>
          <w:sz w:val="24"/>
          <w:szCs w:val="24"/>
          <w:lang w:eastAsia="en-GB"/>
        </w:rPr>
        <w:t>necessary</w:t>
      </w:r>
      <w:r w:rsidRPr="000274FE">
        <w:rPr>
          <w:rFonts w:eastAsia="Times New Roman"/>
          <w:sz w:val="24"/>
          <w:szCs w:val="24"/>
          <w:lang w:eastAsia="en-GB"/>
        </w:rPr>
        <w:t>;</w:t>
      </w:r>
      <w:proofErr w:type="gramEnd"/>
    </w:p>
    <w:p w14:paraId="0A682455" w14:textId="51FBF24F" w:rsidR="00142937" w:rsidRPr="000274FE" w:rsidRDefault="0042505E" w:rsidP="000864F9">
      <w:pPr>
        <w:pStyle w:val="ListBullet3"/>
        <w:rPr>
          <w:rFonts w:eastAsia="Times New Roman"/>
          <w:sz w:val="24"/>
          <w:szCs w:val="24"/>
          <w:lang w:eastAsia="en-GB"/>
        </w:rPr>
      </w:pPr>
      <w:r w:rsidRPr="000274FE">
        <w:rPr>
          <w:rFonts w:eastAsia="Times New Roman"/>
          <w:sz w:val="24"/>
          <w:szCs w:val="24"/>
          <w:lang w:eastAsia="en-GB"/>
        </w:rPr>
        <w:t>g</w:t>
      </w:r>
      <w:r w:rsidR="00142937" w:rsidRPr="000274FE">
        <w:rPr>
          <w:rFonts w:eastAsia="Times New Roman"/>
          <w:sz w:val="24"/>
          <w:szCs w:val="24"/>
          <w:lang w:eastAsia="en-GB"/>
        </w:rPr>
        <w:t xml:space="preserve">ive an indication of how much text </w:t>
      </w:r>
      <w:r w:rsidRPr="000274FE">
        <w:rPr>
          <w:rFonts w:eastAsia="Times New Roman"/>
          <w:sz w:val="24"/>
          <w:szCs w:val="24"/>
          <w:lang w:eastAsia="en-GB"/>
        </w:rPr>
        <w:t>has been</w:t>
      </w:r>
      <w:r w:rsidR="00142937" w:rsidRPr="000274FE">
        <w:rPr>
          <w:rFonts w:eastAsia="Times New Roman"/>
          <w:sz w:val="24"/>
          <w:szCs w:val="24"/>
          <w:lang w:eastAsia="en-GB"/>
        </w:rPr>
        <w:t xml:space="preserve"> redacted and where from. </w:t>
      </w:r>
      <w:r w:rsidRPr="000274FE">
        <w:rPr>
          <w:rFonts w:eastAsia="Times New Roman"/>
          <w:sz w:val="24"/>
          <w:szCs w:val="24"/>
          <w:lang w:eastAsia="en-GB"/>
        </w:rPr>
        <w:t xml:space="preserve"> </w:t>
      </w:r>
      <w:r w:rsidR="00142937" w:rsidRPr="000274FE">
        <w:rPr>
          <w:rFonts w:eastAsia="Times New Roman"/>
          <w:sz w:val="24"/>
          <w:szCs w:val="24"/>
          <w:lang w:eastAsia="en-GB"/>
        </w:rPr>
        <w:t xml:space="preserve">If possible, indicate which sections </w:t>
      </w:r>
      <w:r w:rsidRPr="000274FE">
        <w:rPr>
          <w:rFonts w:eastAsia="Times New Roman"/>
          <w:sz w:val="24"/>
          <w:szCs w:val="24"/>
          <w:lang w:eastAsia="en-GB"/>
        </w:rPr>
        <w:t>were</w:t>
      </w:r>
      <w:r w:rsidR="00142937" w:rsidRPr="000274FE">
        <w:rPr>
          <w:rFonts w:eastAsia="Times New Roman"/>
          <w:sz w:val="24"/>
          <w:szCs w:val="24"/>
          <w:lang w:eastAsia="en-GB"/>
        </w:rPr>
        <w:t xml:space="preserve"> removed using which </w:t>
      </w:r>
      <w:proofErr w:type="gramStart"/>
      <w:r w:rsidR="00142937" w:rsidRPr="000274FE">
        <w:rPr>
          <w:rFonts w:eastAsia="Times New Roman"/>
          <w:sz w:val="24"/>
          <w:szCs w:val="24"/>
          <w:lang w:eastAsia="en-GB"/>
        </w:rPr>
        <w:t>exemption</w:t>
      </w:r>
      <w:r w:rsidRPr="000274FE">
        <w:rPr>
          <w:rFonts w:eastAsia="Times New Roman"/>
          <w:sz w:val="24"/>
          <w:szCs w:val="24"/>
          <w:lang w:eastAsia="en-GB"/>
        </w:rPr>
        <w:t>;</w:t>
      </w:r>
      <w:proofErr w:type="gramEnd"/>
    </w:p>
    <w:p w14:paraId="584683C1" w14:textId="6FA80570" w:rsidR="00142937" w:rsidRPr="000274FE" w:rsidRDefault="0042505E" w:rsidP="000864F9">
      <w:pPr>
        <w:pStyle w:val="ListBullet3"/>
        <w:rPr>
          <w:rFonts w:eastAsia="Times New Roman"/>
          <w:sz w:val="24"/>
          <w:szCs w:val="24"/>
          <w:lang w:eastAsia="en-GB"/>
        </w:rPr>
      </w:pPr>
      <w:r w:rsidRPr="000274FE">
        <w:rPr>
          <w:rFonts w:eastAsia="Times New Roman"/>
          <w:sz w:val="24"/>
          <w:szCs w:val="24"/>
          <w:lang w:eastAsia="en-GB"/>
        </w:rPr>
        <w:t>p</w:t>
      </w:r>
      <w:r w:rsidR="00142937" w:rsidRPr="000274FE">
        <w:rPr>
          <w:rFonts w:eastAsia="Times New Roman"/>
          <w:sz w:val="24"/>
          <w:szCs w:val="24"/>
          <w:lang w:eastAsia="en-GB"/>
        </w:rPr>
        <w:t xml:space="preserve">rovide as much meaningful information as possible. </w:t>
      </w:r>
      <w:r w:rsidRPr="000274FE">
        <w:rPr>
          <w:rFonts w:eastAsia="Times New Roman"/>
          <w:sz w:val="24"/>
          <w:szCs w:val="24"/>
          <w:lang w:eastAsia="en-GB"/>
        </w:rPr>
        <w:t xml:space="preserve"> </w:t>
      </w:r>
      <w:r w:rsidR="00142937" w:rsidRPr="000274FE">
        <w:rPr>
          <w:rFonts w:eastAsia="Times New Roman"/>
          <w:sz w:val="24"/>
          <w:szCs w:val="24"/>
          <w:lang w:eastAsia="en-GB"/>
        </w:rPr>
        <w:t xml:space="preserve">For example, when redacting </w:t>
      </w:r>
      <w:proofErr w:type="gramStart"/>
      <w:r w:rsidR="00142937" w:rsidRPr="000274FE">
        <w:rPr>
          <w:rFonts w:eastAsia="Times New Roman"/>
          <w:sz w:val="24"/>
          <w:szCs w:val="24"/>
          <w:lang w:eastAsia="en-GB"/>
        </w:rPr>
        <w:t>names</w:t>
      </w:r>
      <w:proofErr w:type="gramEnd"/>
      <w:r w:rsidR="00142937" w:rsidRPr="000274FE">
        <w:rPr>
          <w:rFonts w:eastAsia="Times New Roman"/>
          <w:sz w:val="24"/>
          <w:szCs w:val="24"/>
          <w:lang w:eastAsia="en-GB"/>
        </w:rPr>
        <w:t xml:space="preserve"> </w:t>
      </w:r>
      <w:r w:rsidRPr="000274FE">
        <w:rPr>
          <w:rFonts w:eastAsia="Times New Roman"/>
          <w:sz w:val="24"/>
          <w:szCs w:val="24"/>
          <w:lang w:eastAsia="en-GB"/>
        </w:rPr>
        <w:t>it may still be possible to</w:t>
      </w:r>
      <w:r w:rsidR="00142937" w:rsidRPr="000274FE">
        <w:rPr>
          <w:rFonts w:eastAsia="Times New Roman"/>
          <w:sz w:val="24"/>
          <w:szCs w:val="24"/>
          <w:lang w:eastAsia="en-GB"/>
        </w:rPr>
        <w:t xml:space="preserve"> give an indication of the person’s role, or which pieces of correspondence came from the same person</w:t>
      </w:r>
      <w:r w:rsidRPr="000274FE">
        <w:rPr>
          <w:rFonts w:eastAsia="Times New Roman"/>
          <w:sz w:val="24"/>
          <w:szCs w:val="24"/>
          <w:lang w:eastAsia="en-GB"/>
        </w:rPr>
        <w:t>;</w:t>
      </w:r>
    </w:p>
    <w:p w14:paraId="243969C4" w14:textId="5987C13D" w:rsidR="00142937" w:rsidRPr="000274FE" w:rsidRDefault="0042505E" w:rsidP="000864F9">
      <w:pPr>
        <w:pStyle w:val="ListBullet3"/>
        <w:rPr>
          <w:rFonts w:eastAsia="Times New Roman"/>
          <w:sz w:val="24"/>
          <w:szCs w:val="24"/>
          <w:lang w:eastAsia="en-GB"/>
        </w:rPr>
      </w:pPr>
      <w:r w:rsidRPr="000274FE">
        <w:rPr>
          <w:rFonts w:eastAsia="Times New Roman"/>
          <w:sz w:val="24"/>
          <w:szCs w:val="24"/>
          <w:lang w:eastAsia="en-GB"/>
        </w:rPr>
        <w:t>a</w:t>
      </w:r>
      <w:r w:rsidR="00142937" w:rsidRPr="000274FE">
        <w:rPr>
          <w:rFonts w:eastAsia="Times New Roman"/>
          <w:sz w:val="24"/>
          <w:szCs w:val="24"/>
          <w:lang w:eastAsia="en-GB"/>
        </w:rPr>
        <w:t xml:space="preserve">s far as possible, ensure that what </w:t>
      </w:r>
      <w:r w:rsidRPr="000274FE">
        <w:rPr>
          <w:rFonts w:eastAsia="Times New Roman"/>
          <w:sz w:val="24"/>
          <w:szCs w:val="24"/>
          <w:lang w:eastAsia="en-GB"/>
        </w:rPr>
        <w:t>is provided</w:t>
      </w:r>
      <w:r w:rsidR="00142937" w:rsidRPr="000274FE">
        <w:rPr>
          <w:rFonts w:eastAsia="Times New Roman"/>
          <w:sz w:val="24"/>
          <w:szCs w:val="24"/>
          <w:lang w:eastAsia="en-GB"/>
        </w:rPr>
        <w:t xml:space="preserve"> makes sense.</w:t>
      </w:r>
      <w:r w:rsidRPr="000274FE">
        <w:rPr>
          <w:rFonts w:eastAsia="Times New Roman"/>
          <w:sz w:val="24"/>
          <w:szCs w:val="24"/>
          <w:lang w:eastAsia="en-GB"/>
        </w:rPr>
        <w:t xml:space="preserve"> </w:t>
      </w:r>
      <w:r w:rsidR="00142937" w:rsidRPr="000274FE">
        <w:rPr>
          <w:rFonts w:eastAsia="Times New Roman"/>
          <w:sz w:val="24"/>
          <w:szCs w:val="24"/>
          <w:lang w:eastAsia="en-GB"/>
        </w:rPr>
        <w:t xml:space="preserve"> If </w:t>
      </w:r>
      <w:r w:rsidRPr="000274FE">
        <w:rPr>
          <w:rFonts w:eastAsia="Times New Roman"/>
          <w:sz w:val="24"/>
          <w:szCs w:val="24"/>
          <w:lang w:eastAsia="en-GB"/>
        </w:rPr>
        <w:t>so much has been</w:t>
      </w:r>
      <w:r w:rsidR="00142937" w:rsidRPr="000274FE">
        <w:rPr>
          <w:rFonts w:eastAsia="Times New Roman"/>
          <w:sz w:val="24"/>
          <w:szCs w:val="24"/>
          <w:lang w:eastAsia="en-GB"/>
        </w:rPr>
        <w:t xml:space="preserve"> redacted that the document is unreadable, consider what else </w:t>
      </w:r>
      <w:r w:rsidRPr="000274FE">
        <w:rPr>
          <w:rFonts w:eastAsia="Times New Roman"/>
          <w:sz w:val="24"/>
          <w:szCs w:val="24"/>
          <w:lang w:eastAsia="en-GB"/>
        </w:rPr>
        <w:t>can be done</w:t>
      </w:r>
      <w:r w:rsidR="00142937" w:rsidRPr="000274FE">
        <w:rPr>
          <w:rFonts w:eastAsia="Times New Roman"/>
          <w:sz w:val="24"/>
          <w:szCs w:val="24"/>
          <w:lang w:eastAsia="en-GB"/>
        </w:rPr>
        <w:t xml:space="preserve"> to make the information understandable and useful for the </w:t>
      </w:r>
      <w:proofErr w:type="gramStart"/>
      <w:r w:rsidR="00142937" w:rsidRPr="000274FE">
        <w:rPr>
          <w:rFonts w:eastAsia="Times New Roman"/>
          <w:sz w:val="24"/>
          <w:szCs w:val="24"/>
          <w:lang w:eastAsia="en-GB"/>
        </w:rPr>
        <w:t>requester</w:t>
      </w:r>
      <w:r w:rsidR="00C67A3B">
        <w:rPr>
          <w:rFonts w:eastAsia="Times New Roman"/>
          <w:sz w:val="24"/>
          <w:szCs w:val="24"/>
          <w:lang w:eastAsia="en-GB"/>
        </w:rPr>
        <w:t>;</w:t>
      </w:r>
      <w:proofErr w:type="gramEnd"/>
    </w:p>
    <w:p w14:paraId="499B5833" w14:textId="2C3FA891" w:rsidR="00142937" w:rsidRPr="000274FE" w:rsidRDefault="00B65F82" w:rsidP="000864F9">
      <w:pPr>
        <w:pStyle w:val="ListBullet3"/>
        <w:rPr>
          <w:sz w:val="24"/>
          <w:szCs w:val="24"/>
        </w:rPr>
      </w:pPr>
      <w:r w:rsidRPr="000274FE">
        <w:rPr>
          <w:sz w:val="24"/>
          <w:szCs w:val="24"/>
          <w:shd w:val="clear" w:color="auto" w:fill="FFFFFF"/>
        </w:rPr>
        <w:t>k</w:t>
      </w:r>
      <w:r w:rsidR="00142937" w:rsidRPr="000274FE">
        <w:rPr>
          <w:sz w:val="24"/>
          <w:szCs w:val="24"/>
          <w:shd w:val="clear" w:color="auto" w:fill="FFFFFF"/>
        </w:rPr>
        <w:t xml:space="preserve">eep a copy of both the redacted and unredacted versions so </w:t>
      </w:r>
      <w:r w:rsidR="0042505E" w:rsidRPr="000274FE">
        <w:rPr>
          <w:sz w:val="24"/>
          <w:szCs w:val="24"/>
          <w:shd w:val="clear" w:color="auto" w:fill="FFFFFF"/>
        </w:rPr>
        <w:t xml:space="preserve">it is </w:t>
      </w:r>
      <w:r w:rsidR="00142937" w:rsidRPr="000274FE">
        <w:rPr>
          <w:sz w:val="24"/>
          <w:szCs w:val="24"/>
          <w:shd w:val="clear" w:color="auto" w:fill="FFFFFF"/>
        </w:rPr>
        <w:t>know</w:t>
      </w:r>
      <w:r w:rsidRPr="000274FE">
        <w:rPr>
          <w:sz w:val="24"/>
          <w:szCs w:val="24"/>
          <w:shd w:val="clear" w:color="auto" w:fill="FFFFFF"/>
        </w:rPr>
        <w:t>n</w:t>
      </w:r>
      <w:r w:rsidR="00142937" w:rsidRPr="000274FE">
        <w:rPr>
          <w:sz w:val="24"/>
          <w:szCs w:val="24"/>
          <w:shd w:val="clear" w:color="auto" w:fill="FFFFFF"/>
        </w:rPr>
        <w:t xml:space="preserve"> what </w:t>
      </w:r>
      <w:r w:rsidRPr="000274FE">
        <w:rPr>
          <w:sz w:val="24"/>
          <w:szCs w:val="24"/>
          <w:shd w:val="clear" w:color="auto" w:fill="FFFFFF"/>
        </w:rPr>
        <w:t>has been</w:t>
      </w:r>
      <w:r w:rsidR="00142937" w:rsidRPr="000274FE">
        <w:rPr>
          <w:sz w:val="24"/>
          <w:szCs w:val="24"/>
          <w:shd w:val="clear" w:color="auto" w:fill="FFFFFF"/>
        </w:rPr>
        <w:t xml:space="preserve"> released and what </w:t>
      </w:r>
      <w:r w:rsidRPr="000274FE">
        <w:rPr>
          <w:sz w:val="24"/>
          <w:szCs w:val="24"/>
          <w:shd w:val="clear" w:color="auto" w:fill="FFFFFF"/>
        </w:rPr>
        <w:t>has been</w:t>
      </w:r>
      <w:r w:rsidR="00142937" w:rsidRPr="000274FE">
        <w:rPr>
          <w:sz w:val="24"/>
          <w:szCs w:val="24"/>
          <w:shd w:val="clear" w:color="auto" w:fill="FFFFFF"/>
        </w:rPr>
        <w:t xml:space="preserve"> refused, </w:t>
      </w:r>
      <w:r w:rsidRPr="000274FE">
        <w:rPr>
          <w:sz w:val="24"/>
          <w:szCs w:val="24"/>
          <w:shd w:val="clear" w:color="auto" w:fill="FFFFFF"/>
        </w:rPr>
        <w:t>should</w:t>
      </w:r>
      <w:r w:rsidR="00142937" w:rsidRPr="000274FE">
        <w:rPr>
          <w:sz w:val="24"/>
          <w:szCs w:val="24"/>
          <w:shd w:val="clear" w:color="auto" w:fill="FFFFFF"/>
        </w:rPr>
        <w:t xml:space="preserve"> the requester complain.</w:t>
      </w:r>
    </w:p>
    <w:p w14:paraId="679367C1" w14:textId="77777777" w:rsidR="00142937" w:rsidRPr="000274FE" w:rsidRDefault="00142937" w:rsidP="00273668">
      <w:pPr>
        <w:pStyle w:val="Heading1"/>
      </w:pPr>
      <w:r w:rsidRPr="000274FE">
        <w:t>Complaints</w:t>
      </w:r>
    </w:p>
    <w:p w14:paraId="1D003F0B" w14:textId="3EAECC81" w:rsidR="00142937" w:rsidRPr="000274FE" w:rsidRDefault="00142937" w:rsidP="00142937">
      <w:pPr>
        <w:pStyle w:val="Heading2"/>
        <w:rPr>
          <w:rFonts w:cstheme="minorHAnsi"/>
          <w:sz w:val="24"/>
          <w:szCs w:val="24"/>
          <w:shd w:val="clear" w:color="auto" w:fill="FFFFFF"/>
        </w:rPr>
      </w:pPr>
      <w:r w:rsidRPr="000274FE">
        <w:rPr>
          <w:rFonts w:cstheme="minorHAnsi"/>
          <w:sz w:val="24"/>
          <w:szCs w:val="24"/>
          <w:shd w:val="clear" w:color="auto" w:fill="FFFFFF"/>
        </w:rPr>
        <w:t xml:space="preserve">Under the Act, there is no obligation for an authority to provide a complaints process. </w:t>
      </w:r>
      <w:r w:rsidR="00B65F82" w:rsidRPr="000274FE">
        <w:rPr>
          <w:rFonts w:cstheme="minorHAnsi"/>
          <w:sz w:val="24"/>
          <w:szCs w:val="24"/>
          <w:shd w:val="clear" w:color="auto" w:fill="FFFFFF"/>
        </w:rPr>
        <w:t xml:space="preserve"> </w:t>
      </w:r>
      <w:r w:rsidRPr="000274FE">
        <w:rPr>
          <w:rFonts w:cstheme="minorHAnsi"/>
          <w:sz w:val="24"/>
          <w:szCs w:val="24"/>
          <w:shd w:val="clear" w:color="auto" w:fill="FFFFFF"/>
        </w:rPr>
        <w:t>However, it is good practice under the Section 45 of the Code of Practice.</w:t>
      </w:r>
    </w:p>
    <w:p w14:paraId="2D7F3A00" w14:textId="77777777" w:rsidR="00142937" w:rsidRPr="000274FE" w:rsidRDefault="00142937" w:rsidP="00142937">
      <w:pPr>
        <w:pStyle w:val="Heading2"/>
        <w:rPr>
          <w:rFonts w:cstheme="minorHAnsi"/>
          <w:sz w:val="24"/>
          <w:szCs w:val="24"/>
        </w:rPr>
      </w:pPr>
      <w:r w:rsidRPr="000274FE">
        <w:rPr>
          <w:rFonts w:cstheme="minorHAnsi"/>
          <w:sz w:val="24"/>
          <w:szCs w:val="24"/>
        </w:rPr>
        <w:t xml:space="preserve">The Practice will ensure that: </w:t>
      </w:r>
    </w:p>
    <w:p w14:paraId="04E0E3E7" w14:textId="2C8EB26E" w:rsidR="00142937" w:rsidRPr="000274FE" w:rsidRDefault="00B65F82" w:rsidP="000864F9">
      <w:pPr>
        <w:pStyle w:val="ListBullet3"/>
        <w:rPr>
          <w:sz w:val="24"/>
          <w:szCs w:val="24"/>
        </w:rPr>
      </w:pPr>
      <w:r w:rsidRPr="000274FE">
        <w:rPr>
          <w:sz w:val="24"/>
          <w:szCs w:val="24"/>
        </w:rPr>
        <w:t>t</w:t>
      </w:r>
      <w:r w:rsidR="00142937" w:rsidRPr="000274FE">
        <w:rPr>
          <w:sz w:val="24"/>
          <w:szCs w:val="24"/>
        </w:rPr>
        <w:t xml:space="preserve">he procedure is triggered whenever a requester expresses dissatisfaction with the </w:t>
      </w:r>
      <w:proofErr w:type="gramStart"/>
      <w:r w:rsidR="00142937" w:rsidRPr="000274FE">
        <w:rPr>
          <w:sz w:val="24"/>
          <w:szCs w:val="24"/>
        </w:rPr>
        <w:t>outcome;</w:t>
      </w:r>
      <w:proofErr w:type="gramEnd"/>
    </w:p>
    <w:p w14:paraId="4293B67C" w14:textId="70BA661A" w:rsidR="00142937" w:rsidRPr="000274FE" w:rsidRDefault="00142937" w:rsidP="000864F9">
      <w:pPr>
        <w:pStyle w:val="ListBullet3"/>
        <w:rPr>
          <w:sz w:val="24"/>
          <w:szCs w:val="24"/>
        </w:rPr>
      </w:pPr>
      <w:r w:rsidRPr="000274FE">
        <w:rPr>
          <w:sz w:val="24"/>
          <w:szCs w:val="24"/>
        </w:rPr>
        <w:t xml:space="preserve">it is a straightforward, single-staged </w:t>
      </w:r>
      <w:proofErr w:type="gramStart"/>
      <w:r w:rsidRPr="000274FE">
        <w:rPr>
          <w:sz w:val="24"/>
          <w:szCs w:val="24"/>
        </w:rPr>
        <w:t>process</w:t>
      </w:r>
      <w:r w:rsidR="00B65F82" w:rsidRPr="000274FE">
        <w:rPr>
          <w:sz w:val="24"/>
          <w:szCs w:val="24"/>
        </w:rPr>
        <w:t>;</w:t>
      </w:r>
      <w:proofErr w:type="gramEnd"/>
    </w:p>
    <w:p w14:paraId="37CC9B46" w14:textId="13974186" w:rsidR="00142937" w:rsidRPr="000274FE" w:rsidRDefault="00142937" w:rsidP="000864F9">
      <w:pPr>
        <w:pStyle w:val="ListBullet3"/>
        <w:rPr>
          <w:sz w:val="24"/>
          <w:szCs w:val="24"/>
        </w:rPr>
      </w:pPr>
      <w:r w:rsidRPr="000274FE">
        <w:rPr>
          <w:sz w:val="24"/>
          <w:szCs w:val="24"/>
        </w:rPr>
        <w:t xml:space="preserve">a fresh decision </w:t>
      </w:r>
      <w:r w:rsidR="00B65F82" w:rsidRPr="000274FE">
        <w:rPr>
          <w:sz w:val="24"/>
          <w:szCs w:val="24"/>
        </w:rPr>
        <w:t xml:space="preserve">will be made </w:t>
      </w:r>
      <w:r w:rsidRPr="000274FE">
        <w:rPr>
          <w:sz w:val="24"/>
          <w:szCs w:val="24"/>
        </w:rPr>
        <w:t xml:space="preserve">based on all the available evidence that is relevant to the date of the request, not just a review of the first </w:t>
      </w:r>
      <w:proofErr w:type="gramStart"/>
      <w:r w:rsidRPr="000274FE">
        <w:rPr>
          <w:sz w:val="24"/>
          <w:szCs w:val="24"/>
        </w:rPr>
        <w:t>decision;</w:t>
      </w:r>
      <w:proofErr w:type="gramEnd"/>
    </w:p>
    <w:p w14:paraId="3F6D994E" w14:textId="4C78F0D1" w:rsidR="00142937" w:rsidRPr="000274FE" w:rsidRDefault="00142937" w:rsidP="000864F9">
      <w:pPr>
        <w:pStyle w:val="ListBullet3"/>
        <w:rPr>
          <w:sz w:val="24"/>
          <w:szCs w:val="24"/>
        </w:rPr>
      </w:pPr>
      <w:r w:rsidRPr="000274FE">
        <w:rPr>
          <w:sz w:val="24"/>
          <w:szCs w:val="24"/>
        </w:rPr>
        <w:t xml:space="preserve">the review is </w:t>
      </w:r>
      <w:r w:rsidR="00B65F82" w:rsidRPr="000274FE">
        <w:rPr>
          <w:sz w:val="24"/>
          <w:szCs w:val="24"/>
        </w:rPr>
        <w:t>carried out</w:t>
      </w:r>
      <w:r w:rsidRPr="000274FE">
        <w:rPr>
          <w:sz w:val="24"/>
          <w:szCs w:val="24"/>
        </w:rPr>
        <w:t xml:space="preserve"> by someone who did not deal with the </w:t>
      </w:r>
      <w:r w:rsidR="00B65F82" w:rsidRPr="000274FE">
        <w:rPr>
          <w:sz w:val="24"/>
          <w:szCs w:val="24"/>
        </w:rPr>
        <w:t xml:space="preserve">original </w:t>
      </w:r>
      <w:r w:rsidRPr="000274FE">
        <w:rPr>
          <w:sz w:val="24"/>
          <w:szCs w:val="24"/>
        </w:rPr>
        <w:t xml:space="preserve">request, where possible, and preferably by a more senior member of staff; and </w:t>
      </w:r>
    </w:p>
    <w:p w14:paraId="6A9F2D1C" w14:textId="50F940A2" w:rsidR="00142937" w:rsidRPr="000274FE" w:rsidRDefault="00142937" w:rsidP="000864F9">
      <w:pPr>
        <w:pStyle w:val="ListBullet3"/>
        <w:rPr>
          <w:sz w:val="24"/>
          <w:szCs w:val="24"/>
        </w:rPr>
      </w:pPr>
      <w:r w:rsidRPr="000274FE">
        <w:rPr>
          <w:sz w:val="24"/>
          <w:szCs w:val="24"/>
        </w:rPr>
        <w:t>the review takes no longer than 20 working days in mo</w:t>
      </w:r>
      <w:r w:rsidR="00B65F82" w:rsidRPr="000274FE">
        <w:rPr>
          <w:sz w:val="24"/>
          <w:szCs w:val="24"/>
        </w:rPr>
        <w:t>st</w:t>
      </w:r>
      <w:r w:rsidRPr="000274FE">
        <w:rPr>
          <w:sz w:val="24"/>
          <w:szCs w:val="24"/>
        </w:rPr>
        <w:t xml:space="preserve"> cases, or 40 in exceptional circumstances</w:t>
      </w:r>
      <w:r w:rsidR="00B65F82" w:rsidRPr="000274FE">
        <w:rPr>
          <w:sz w:val="24"/>
          <w:szCs w:val="24"/>
        </w:rPr>
        <w:t>.</w:t>
      </w:r>
    </w:p>
    <w:p w14:paraId="77927AF6" w14:textId="7053646E" w:rsidR="00142937" w:rsidRPr="000274FE" w:rsidRDefault="00142937" w:rsidP="00142937">
      <w:pPr>
        <w:pStyle w:val="Heading2"/>
        <w:rPr>
          <w:rFonts w:cstheme="minorHAnsi"/>
          <w:sz w:val="24"/>
          <w:szCs w:val="24"/>
          <w:shd w:val="clear" w:color="auto" w:fill="FFFFFF"/>
        </w:rPr>
      </w:pPr>
      <w:r w:rsidRPr="000274FE">
        <w:rPr>
          <w:rFonts w:cstheme="minorHAnsi"/>
          <w:sz w:val="24"/>
          <w:szCs w:val="24"/>
          <w:shd w:val="clear" w:color="auto" w:fill="FFFFFF"/>
        </w:rPr>
        <w:t xml:space="preserve">When issuing a refusal notice, the Practice will state whether </w:t>
      </w:r>
      <w:r w:rsidR="00B65F82" w:rsidRPr="000274FE">
        <w:rPr>
          <w:rFonts w:cstheme="minorHAnsi"/>
          <w:sz w:val="24"/>
          <w:szCs w:val="24"/>
          <w:shd w:val="clear" w:color="auto" w:fill="FFFFFF"/>
        </w:rPr>
        <w:t xml:space="preserve">it has </w:t>
      </w:r>
      <w:r w:rsidRPr="000274FE">
        <w:rPr>
          <w:rFonts w:cstheme="minorHAnsi"/>
          <w:sz w:val="24"/>
          <w:szCs w:val="24"/>
          <w:shd w:val="clear" w:color="auto" w:fill="FFFFFF"/>
        </w:rPr>
        <w:t xml:space="preserve">an internal review procedure and how to access it. </w:t>
      </w:r>
      <w:r w:rsidR="00B65F82" w:rsidRPr="000274FE">
        <w:rPr>
          <w:rFonts w:cstheme="minorHAnsi"/>
          <w:sz w:val="24"/>
          <w:szCs w:val="24"/>
          <w:shd w:val="clear" w:color="auto" w:fill="FFFFFF"/>
        </w:rPr>
        <w:t xml:space="preserve"> </w:t>
      </w:r>
      <w:r w:rsidRPr="000274FE">
        <w:rPr>
          <w:rFonts w:cstheme="minorHAnsi"/>
          <w:sz w:val="24"/>
          <w:szCs w:val="24"/>
          <w:shd w:val="clear" w:color="auto" w:fill="FFFFFF"/>
        </w:rPr>
        <w:t>If a requester complains even when a request</w:t>
      </w:r>
      <w:r w:rsidR="00B65F82" w:rsidRPr="000274FE">
        <w:rPr>
          <w:rFonts w:cstheme="minorHAnsi"/>
          <w:sz w:val="24"/>
          <w:szCs w:val="24"/>
          <w:shd w:val="clear" w:color="auto" w:fill="FFFFFF"/>
        </w:rPr>
        <w:t xml:space="preserve"> has not been refused</w:t>
      </w:r>
      <w:r w:rsidRPr="000274FE">
        <w:rPr>
          <w:rFonts w:cstheme="minorHAnsi"/>
          <w:sz w:val="24"/>
          <w:szCs w:val="24"/>
          <w:shd w:val="clear" w:color="auto" w:fill="FFFFFF"/>
        </w:rPr>
        <w:t xml:space="preserve">, </w:t>
      </w:r>
      <w:r w:rsidR="00B65F82" w:rsidRPr="000274FE">
        <w:rPr>
          <w:rFonts w:cstheme="minorHAnsi"/>
          <w:sz w:val="24"/>
          <w:szCs w:val="24"/>
          <w:shd w:val="clear" w:color="auto" w:fill="FFFFFF"/>
        </w:rPr>
        <w:t>the Practice</w:t>
      </w:r>
      <w:r w:rsidRPr="000274FE">
        <w:rPr>
          <w:rFonts w:cstheme="minorHAnsi"/>
          <w:sz w:val="24"/>
          <w:szCs w:val="24"/>
          <w:shd w:val="clear" w:color="auto" w:fill="FFFFFF"/>
        </w:rPr>
        <w:t xml:space="preserve"> should carry out an internal review if they:</w:t>
      </w:r>
    </w:p>
    <w:p w14:paraId="49842FDE" w14:textId="2982CC44" w:rsidR="00142937" w:rsidRPr="000274FE" w:rsidRDefault="00B65F82" w:rsidP="000864F9">
      <w:pPr>
        <w:pStyle w:val="ListBullet3"/>
        <w:rPr>
          <w:sz w:val="24"/>
          <w:szCs w:val="24"/>
        </w:rPr>
      </w:pPr>
      <w:r w:rsidRPr="000274FE">
        <w:rPr>
          <w:sz w:val="24"/>
          <w:szCs w:val="24"/>
        </w:rPr>
        <w:t>d</w:t>
      </w:r>
      <w:r w:rsidR="00142937" w:rsidRPr="000274FE">
        <w:rPr>
          <w:sz w:val="24"/>
          <w:szCs w:val="24"/>
        </w:rPr>
        <w:t xml:space="preserve">isagree with </w:t>
      </w:r>
      <w:r w:rsidRPr="000274FE">
        <w:rPr>
          <w:sz w:val="24"/>
          <w:szCs w:val="24"/>
        </w:rPr>
        <w:t>the Practices</w:t>
      </w:r>
      <w:r w:rsidR="00142937" w:rsidRPr="000274FE">
        <w:rPr>
          <w:sz w:val="24"/>
          <w:szCs w:val="24"/>
        </w:rPr>
        <w:t xml:space="preserve"> interpretation of their </w:t>
      </w:r>
      <w:proofErr w:type="gramStart"/>
      <w:r w:rsidR="00142937" w:rsidRPr="000274FE">
        <w:rPr>
          <w:sz w:val="24"/>
          <w:szCs w:val="24"/>
        </w:rPr>
        <w:t>request;</w:t>
      </w:r>
      <w:proofErr w:type="gramEnd"/>
    </w:p>
    <w:p w14:paraId="6F2D4544" w14:textId="3622E405" w:rsidR="00142937" w:rsidRPr="000274FE" w:rsidRDefault="00B65F82" w:rsidP="000864F9">
      <w:pPr>
        <w:pStyle w:val="ListBullet3"/>
        <w:rPr>
          <w:sz w:val="24"/>
          <w:szCs w:val="24"/>
        </w:rPr>
      </w:pPr>
      <w:r w:rsidRPr="000274FE">
        <w:rPr>
          <w:sz w:val="24"/>
          <w:szCs w:val="24"/>
        </w:rPr>
        <w:lastRenderedPageBreak/>
        <w:t>b</w:t>
      </w:r>
      <w:r w:rsidR="00142937" w:rsidRPr="000274FE">
        <w:rPr>
          <w:sz w:val="24"/>
          <w:szCs w:val="24"/>
        </w:rPr>
        <w:t>elieve that the Practice holds more information than disclosed; or</w:t>
      </w:r>
    </w:p>
    <w:p w14:paraId="36C737F1" w14:textId="480D3081" w:rsidR="00142937" w:rsidRPr="000274FE" w:rsidRDefault="00B65F82" w:rsidP="000864F9">
      <w:pPr>
        <w:pStyle w:val="ListBullet3"/>
        <w:rPr>
          <w:sz w:val="24"/>
          <w:szCs w:val="24"/>
        </w:rPr>
      </w:pPr>
      <w:r w:rsidRPr="000274FE">
        <w:rPr>
          <w:sz w:val="24"/>
          <w:szCs w:val="24"/>
        </w:rPr>
        <w:t>a</w:t>
      </w:r>
      <w:r w:rsidR="00142937" w:rsidRPr="000274FE">
        <w:rPr>
          <w:sz w:val="24"/>
          <w:szCs w:val="24"/>
        </w:rPr>
        <w:t>re still waiting for a response and are unhappy with the delay</w:t>
      </w:r>
      <w:r w:rsidR="00C67A3B">
        <w:rPr>
          <w:sz w:val="24"/>
          <w:szCs w:val="24"/>
        </w:rPr>
        <w:t>.</w:t>
      </w:r>
    </w:p>
    <w:p w14:paraId="13B9E44E" w14:textId="450951D0" w:rsidR="00142937" w:rsidRPr="000274FE" w:rsidRDefault="00142937" w:rsidP="00142937">
      <w:pPr>
        <w:pStyle w:val="Heading2"/>
        <w:rPr>
          <w:rFonts w:cstheme="minorHAnsi"/>
          <w:sz w:val="24"/>
          <w:szCs w:val="24"/>
          <w:shd w:val="clear" w:color="auto" w:fill="FFFFFF"/>
        </w:rPr>
      </w:pPr>
      <w:r w:rsidRPr="000274FE">
        <w:rPr>
          <w:rFonts w:cstheme="minorHAnsi"/>
          <w:color w:val="000000"/>
          <w:sz w:val="24"/>
          <w:szCs w:val="24"/>
          <w:shd w:val="clear" w:color="auto" w:fill="FFFFFF"/>
        </w:rPr>
        <w:t xml:space="preserve">Even if the internal review upholds </w:t>
      </w:r>
      <w:r w:rsidR="00B65F82" w:rsidRPr="000274FE">
        <w:rPr>
          <w:rFonts w:cstheme="minorHAnsi"/>
          <w:color w:val="000000"/>
          <w:sz w:val="24"/>
          <w:szCs w:val="24"/>
          <w:shd w:val="clear" w:color="auto" w:fill="FFFFFF"/>
        </w:rPr>
        <w:t>the</w:t>
      </w:r>
      <w:r w:rsidRPr="000274FE">
        <w:rPr>
          <w:rFonts w:cstheme="minorHAnsi"/>
          <w:color w:val="000000"/>
          <w:sz w:val="24"/>
          <w:szCs w:val="24"/>
          <w:shd w:val="clear" w:color="auto" w:fill="FFFFFF"/>
        </w:rPr>
        <w:t xml:space="preserve"> original decision (that, as at the date of the request, the information was exempt from disclosure) </w:t>
      </w:r>
      <w:r w:rsidR="00B65F82" w:rsidRPr="000274FE">
        <w:rPr>
          <w:rFonts w:cstheme="minorHAnsi"/>
          <w:color w:val="000000"/>
          <w:sz w:val="24"/>
          <w:szCs w:val="24"/>
          <w:shd w:val="clear" w:color="auto" w:fill="FFFFFF"/>
        </w:rPr>
        <w:t xml:space="preserve">the Practice </w:t>
      </w:r>
      <w:r w:rsidRPr="000274FE">
        <w:rPr>
          <w:rFonts w:cstheme="minorHAnsi"/>
          <w:color w:val="000000"/>
          <w:sz w:val="24"/>
          <w:szCs w:val="24"/>
          <w:shd w:val="clear" w:color="auto" w:fill="FFFFFF"/>
        </w:rPr>
        <w:t xml:space="preserve">may wish to release further information if circumstances have changed and original concerns about disclosure no longer apply. </w:t>
      </w:r>
      <w:r w:rsidR="00B65F82"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The Practice is not obliged to do this</w:t>
      </w:r>
      <w:r w:rsidR="00B65F82" w:rsidRPr="000274FE">
        <w:rPr>
          <w:rFonts w:cstheme="minorHAnsi"/>
          <w:color w:val="000000"/>
          <w:sz w:val="24"/>
          <w:szCs w:val="24"/>
          <w:shd w:val="clear" w:color="auto" w:fill="FFFFFF"/>
        </w:rPr>
        <w:t>,</w:t>
      </w:r>
      <w:r w:rsidRPr="000274FE">
        <w:rPr>
          <w:rFonts w:cstheme="minorHAnsi"/>
          <w:color w:val="000000"/>
          <w:sz w:val="24"/>
          <w:szCs w:val="24"/>
          <w:shd w:val="clear" w:color="auto" w:fill="FFFFFF"/>
        </w:rPr>
        <w:t xml:space="preserve"> but it may resolve matters for the requester and reduce the likelihood of them making a complaint to the Information Commissioner.</w:t>
      </w:r>
    </w:p>
    <w:p w14:paraId="5D785050" w14:textId="712A7179" w:rsidR="00142937" w:rsidRPr="000274FE" w:rsidRDefault="00142937" w:rsidP="00142937">
      <w:pPr>
        <w:pStyle w:val="Heading2"/>
        <w:rPr>
          <w:rFonts w:cstheme="minorHAnsi"/>
          <w:sz w:val="24"/>
          <w:szCs w:val="24"/>
          <w:shd w:val="clear" w:color="auto" w:fill="FFFFFF"/>
        </w:rPr>
      </w:pPr>
      <w:r w:rsidRPr="000274FE">
        <w:rPr>
          <w:rFonts w:cstheme="minorHAnsi"/>
          <w:color w:val="000000"/>
          <w:sz w:val="24"/>
          <w:szCs w:val="24"/>
          <w:shd w:val="clear" w:color="auto" w:fill="FFFFFF"/>
        </w:rPr>
        <w:t xml:space="preserve">The ICO has a general duty to investigate complaints from members of the public who believe that an authority has failed to respond correctly to a request for information. </w:t>
      </w:r>
      <w:r w:rsidR="00B65F82"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If someone makes a complaint against the Practice, the ICO’s complaint</w:t>
      </w:r>
      <w:r w:rsidR="00B65F82" w:rsidRPr="000274FE">
        <w:rPr>
          <w:rFonts w:cstheme="minorHAnsi"/>
          <w:color w:val="000000"/>
          <w:sz w:val="24"/>
          <w:szCs w:val="24"/>
          <w:shd w:val="clear" w:color="auto" w:fill="FFFFFF"/>
        </w:rPr>
        <w:t>s</w:t>
      </w:r>
      <w:r w:rsidRPr="000274FE">
        <w:rPr>
          <w:rFonts w:cstheme="minorHAnsi"/>
          <w:color w:val="000000"/>
          <w:sz w:val="24"/>
          <w:szCs w:val="24"/>
          <w:shd w:val="clear" w:color="auto" w:fill="FFFFFF"/>
        </w:rPr>
        <w:t xml:space="preserve"> handling process gives the Practice an opportunity to reconsider </w:t>
      </w:r>
      <w:r w:rsidR="00B65F82" w:rsidRPr="000274FE">
        <w:rPr>
          <w:rFonts w:cstheme="minorHAnsi"/>
          <w:color w:val="000000"/>
          <w:sz w:val="24"/>
          <w:szCs w:val="24"/>
          <w:shd w:val="clear" w:color="auto" w:fill="FFFFFF"/>
        </w:rPr>
        <w:t>their</w:t>
      </w:r>
      <w:r w:rsidRPr="000274FE">
        <w:rPr>
          <w:rFonts w:cstheme="minorHAnsi"/>
          <w:color w:val="000000"/>
          <w:sz w:val="24"/>
          <w:szCs w:val="24"/>
          <w:shd w:val="clear" w:color="auto" w:fill="FFFFFF"/>
        </w:rPr>
        <w:t xml:space="preserve"> actions and put right any mistakes without taking any formal action.</w:t>
      </w:r>
    </w:p>
    <w:p w14:paraId="6BADEDF1" w14:textId="6D963C45" w:rsidR="00142937" w:rsidRPr="000274FE" w:rsidRDefault="00142937" w:rsidP="00142937">
      <w:pPr>
        <w:pStyle w:val="Heading2"/>
        <w:rPr>
          <w:rFonts w:cstheme="minorHAnsi"/>
          <w:sz w:val="24"/>
          <w:szCs w:val="24"/>
          <w:shd w:val="clear" w:color="auto" w:fill="FFFFFF"/>
        </w:rPr>
      </w:pPr>
      <w:r w:rsidRPr="000274FE">
        <w:rPr>
          <w:rFonts w:cstheme="minorHAnsi"/>
          <w:color w:val="000000"/>
          <w:sz w:val="24"/>
          <w:szCs w:val="24"/>
          <w:shd w:val="clear" w:color="auto" w:fill="FFFFFF"/>
        </w:rPr>
        <w:t xml:space="preserve">If the complaint is not resolved informally, the ICO will issue a decision notice. </w:t>
      </w:r>
      <w:r w:rsidR="00B65F82"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If the ICO find</w:t>
      </w:r>
      <w:r w:rsidR="00B65F82" w:rsidRPr="000274FE">
        <w:rPr>
          <w:rFonts w:cstheme="minorHAnsi"/>
          <w:color w:val="000000"/>
          <w:sz w:val="24"/>
          <w:szCs w:val="24"/>
          <w:shd w:val="clear" w:color="auto" w:fill="FFFFFF"/>
        </w:rPr>
        <w:t>s</w:t>
      </w:r>
      <w:r w:rsidRPr="000274FE">
        <w:rPr>
          <w:rFonts w:cstheme="minorHAnsi"/>
          <w:color w:val="000000"/>
          <w:sz w:val="24"/>
          <w:szCs w:val="24"/>
          <w:shd w:val="clear" w:color="auto" w:fill="FFFFFF"/>
        </w:rPr>
        <w:t xml:space="preserve"> that the Practice has breached the Act, the decision notice will say what the Practice needs to do to put things right. </w:t>
      </w:r>
      <w:r w:rsidR="00B65F82"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The ICO also have powers to enforce compliance if </w:t>
      </w:r>
      <w:r w:rsidR="00B65F82" w:rsidRPr="000274FE">
        <w:rPr>
          <w:rFonts w:cstheme="minorHAnsi"/>
          <w:color w:val="000000"/>
          <w:sz w:val="24"/>
          <w:szCs w:val="24"/>
          <w:shd w:val="clear" w:color="auto" w:fill="FFFFFF"/>
        </w:rPr>
        <w:t>the Practice has</w:t>
      </w:r>
      <w:r w:rsidRPr="000274FE">
        <w:rPr>
          <w:rFonts w:cstheme="minorHAnsi"/>
          <w:color w:val="000000"/>
          <w:sz w:val="24"/>
          <w:szCs w:val="24"/>
          <w:shd w:val="clear" w:color="auto" w:fill="FFFFFF"/>
        </w:rPr>
        <w:t xml:space="preserve"> failed to adopt the publication scheme or ha</w:t>
      </w:r>
      <w:r w:rsidR="00B65F82" w:rsidRPr="000274FE">
        <w:rPr>
          <w:rFonts w:cstheme="minorHAnsi"/>
          <w:color w:val="000000"/>
          <w:sz w:val="24"/>
          <w:szCs w:val="24"/>
          <w:shd w:val="clear" w:color="auto" w:fill="FFFFFF"/>
        </w:rPr>
        <w:t>s</w:t>
      </w:r>
      <w:r w:rsidRPr="000274FE">
        <w:rPr>
          <w:rFonts w:cstheme="minorHAnsi"/>
          <w:color w:val="000000"/>
          <w:sz w:val="24"/>
          <w:szCs w:val="24"/>
          <w:shd w:val="clear" w:color="auto" w:fill="FFFFFF"/>
        </w:rPr>
        <w:t xml:space="preserve"> not published information as </w:t>
      </w:r>
      <w:r w:rsidR="00B65F82" w:rsidRPr="000274FE">
        <w:rPr>
          <w:rFonts w:cstheme="minorHAnsi"/>
          <w:color w:val="000000"/>
          <w:sz w:val="24"/>
          <w:szCs w:val="24"/>
          <w:shd w:val="clear" w:color="auto" w:fill="FFFFFF"/>
        </w:rPr>
        <w:t>it</w:t>
      </w:r>
      <w:r w:rsidRPr="000274FE">
        <w:rPr>
          <w:rFonts w:cstheme="minorHAnsi"/>
          <w:color w:val="000000"/>
          <w:sz w:val="24"/>
          <w:szCs w:val="24"/>
          <w:shd w:val="clear" w:color="auto" w:fill="FFFFFF"/>
        </w:rPr>
        <w:t xml:space="preserve"> should, </w:t>
      </w:r>
      <w:proofErr w:type="gramStart"/>
      <w:r w:rsidRPr="000274FE">
        <w:rPr>
          <w:rFonts w:cstheme="minorHAnsi"/>
          <w:color w:val="000000"/>
          <w:sz w:val="24"/>
          <w:szCs w:val="24"/>
          <w:shd w:val="clear" w:color="auto" w:fill="FFFFFF"/>
        </w:rPr>
        <w:t>whether or not</w:t>
      </w:r>
      <w:proofErr w:type="gramEnd"/>
      <w:r w:rsidRPr="000274FE">
        <w:rPr>
          <w:rFonts w:cstheme="minorHAnsi"/>
          <w:color w:val="000000"/>
          <w:sz w:val="24"/>
          <w:szCs w:val="24"/>
          <w:shd w:val="clear" w:color="auto" w:fill="FFFFFF"/>
        </w:rPr>
        <w:t xml:space="preserve"> a complaint </w:t>
      </w:r>
      <w:r w:rsidR="00B65F82" w:rsidRPr="000274FE">
        <w:rPr>
          <w:rFonts w:cstheme="minorHAnsi"/>
          <w:color w:val="000000"/>
          <w:sz w:val="24"/>
          <w:szCs w:val="24"/>
          <w:shd w:val="clear" w:color="auto" w:fill="FFFFFF"/>
        </w:rPr>
        <w:t xml:space="preserve">has been received </w:t>
      </w:r>
      <w:r w:rsidRPr="000274FE">
        <w:rPr>
          <w:rFonts w:cstheme="minorHAnsi"/>
          <w:color w:val="000000"/>
          <w:sz w:val="24"/>
          <w:szCs w:val="24"/>
          <w:shd w:val="clear" w:color="auto" w:fill="FFFFFF"/>
        </w:rPr>
        <w:t>about this.</w:t>
      </w:r>
    </w:p>
    <w:p w14:paraId="0A8E3170" w14:textId="7AA39665" w:rsidR="00142937" w:rsidRPr="000274FE" w:rsidRDefault="00142937" w:rsidP="00142937">
      <w:pPr>
        <w:pStyle w:val="Heading2"/>
        <w:rPr>
          <w:rFonts w:cstheme="minorHAnsi"/>
          <w:sz w:val="24"/>
          <w:szCs w:val="24"/>
          <w:shd w:val="clear" w:color="auto" w:fill="FFFFFF"/>
        </w:rPr>
      </w:pPr>
      <w:r w:rsidRPr="000274FE">
        <w:rPr>
          <w:rFonts w:cstheme="minorHAnsi"/>
          <w:color w:val="000000"/>
          <w:sz w:val="24"/>
          <w:szCs w:val="24"/>
          <w:shd w:val="clear" w:color="auto" w:fill="FFFFFF"/>
        </w:rPr>
        <w:t xml:space="preserve">The Practice may be breaching the Freedom of Information Act </w:t>
      </w:r>
      <w:r w:rsidR="00B65F82" w:rsidRPr="000274FE">
        <w:rPr>
          <w:rFonts w:cstheme="minorHAnsi"/>
          <w:color w:val="000000"/>
          <w:sz w:val="24"/>
          <w:szCs w:val="24"/>
          <w:shd w:val="clear" w:color="auto" w:fill="FFFFFF"/>
        </w:rPr>
        <w:t>if it does any of</w:t>
      </w:r>
      <w:r w:rsidRPr="000274FE">
        <w:rPr>
          <w:rFonts w:cstheme="minorHAnsi"/>
          <w:color w:val="000000"/>
          <w:sz w:val="24"/>
          <w:szCs w:val="24"/>
          <w:shd w:val="clear" w:color="auto" w:fill="FFFFFF"/>
        </w:rPr>
        <w:t xml:space="preserve"> the following:</w:t>
      </w:r>
    </w:p>
    <w:p w14:paraId="0C0B44F9" w14:textId="70CDA28A" w:rsidR="00142937" w:rsidRPr="000274FE" w:rsidRDefault="00B65F82" w:rsidP="000864F9">
      <w:pPr>
        <w:pStyle w:val="ListBullet3"/>
        <w:rPr>
          <w:sz w:val="24"/>
          <w:szCs w:val="24"/>
          <w:shd w:val="clear" w:color="auto" w:fill="FFFFFF"/>
        </w:rPr>
      </w:pPr>
      <w:r w:rsidRPr="000274FE">
        <w:rPr>
          <w:sz w:val="24"/>
          <w:szCs w:val="24"/>
          <w:shd w:val="clear" w:color="auto" w:fill="FFFFFF"/>
        </w:rPr>
        <w:t>f</w:t>
      </w:r>
      <w:r w:rsidR="00142937" w:rsidRPr="000274FE">
        <w:rPr>
          <w:sz w:val="24"/>
          <w:szCs w:val="24"/>
          <w:shd w:val="clear" w:color="auto" w:fill="FFFFFF"/>
        </w:rPr>
        <w:t>ail</w:t>
      </w:r>
      <w:r w:rsidRPr="000274FE">
        <w:rPr>
          <w:sz w:val="24"/>
          <w:szCs w:val="24"/>
          <w:shd w:val="clear" w:color="auto" w:fill="FFFFFF"/>
        </w:rPr>
        <w:t>s</w:t>
      </w:r>
      <w:r w:rsidR="00142937" w:rsidRPr="000274FE">
        <w:rPr>
          <w:sz w:val="24"/>
          <w:szCs w:val="24"/>
          <w:shd w:val="clear" w:color="auto" w:fill="FFFFFF"/>
        </w:rPr>
        <w:t xml:space="preserve"> to respond adequately to a request for </w:t>
      </w:r>
      <w:proofErr w:type="gramStart"/>
      <w:r w:rsidR="00142937" w:rsidRPr="000274FE">
        <w:rPr>
          <w:sz w:val="24"/>
          <w:szCs w:val="24"/>
          <w:shd w:val="clear" w:color="auto" w:fill="FFFFFF"/>
        </w:rPr>
        <w:t>information;</w:t>
      </w:r>
      <w:proofErr w:type="gramEnd"/>
    </w:p>
    <w:p w14:paraId="2761A92C" w14:textId="113EFC86" w:rsidR="00142937" w:rsidRPr="000274FE" w:rsidRDefault="00B65F82" w:rsidP="000864F9">
      <w:pPr>
        <w:pStyle w:val="ListBullet3"/>
        <w:rPr>
          <w:sz w:val="24"/>
          <w:szCs w:val="24"/>
          <w:shd w:val="clear" w:color="auto" w:fill="FFFFFF"/>
        </w:rPr>
      </w:pPr>
      <w:r w:rsidRPr="000274FE">
        <w:rPr>
          <w:sz w:val="24"/>
          <w:szCs w:val="24"/>
          <w:shd w:val="clear" w:color="auto" w:fill="FFFFFF"/>
        </w:rPr>
        <w:t>f</w:t>
      </w:r>
      <w:r w:rsidR="00142937" w:rsidRPr="000274FE">
        <w:rPr>
          <w:sz w:val="24"/>
          <w:szCs w:val="24"/>
          <w:shd w:val="clear" w:color="auto" w:fill="FFFFFF"/>
        </w:rPr>
        <w:t>ail</w:t>
      </w:r>
      <w:r w:rsidRPr="000274FE">
        <w:rPr>
          <w:sz w:val="24"/>
          <w:szCs w:val="24"/>
          <w:shd w:val="clear" w:color="auto" w:fill="FFFFFF"/>
        </w:rPr>
        <w:t>s</w:t>
      </w:r>
      <w:r w:rsidR="00142937" w:rsidRPr="000274FE">
        <w:rPr>
          <w:sz w:val="24"/>
          <w:szCs w:val="24"/>
          <w:shd w:val="clear" w:color="auto" w:fill="FFFFFF"/>
        </w:rPr>
        <w:t xml:space="preserve"> to adopt the model publication scheme, or do</w:t>
      </w:r>
      <w:r w:rsidRPr="000274FE">
        <w:rPr>
          <w:sz w:val="24"/>
          <w:szCs w:val="24"/>
          <w:shd w:val="clear" w:color="auto" w:fill="FFFFFF"/>
        </w:rPr>
        <w:t>es</w:t>
      </w:r>
      <w:r w:rsidR="00142937" w:rsidRPr="000274FE">
        <w:rPr>
          <w:sz w:val="24"/>
          <w:szCs w:val="24"/>
          <w:shd w:val="clear" w:color="auto" w:fill="FFFFFF"/>
        </w:rPr>
        <w:t xml:space="preserve"> not publish the correct information; or</w:t>
      </w:r>
    </w:p>
    <w:p w14:paraId="68A3D6F9" w14:textId="338FAEE9" w:rsidR="00142937" w:rsidRPr="000274FE" w:rsidRDefault="00B65F82" w:rsidP="000864F9">
      <w:pPr>
        <w:pStyle w:val="ListBullet3"/>
        <w:rPr>
          <w:sz w:val="24"/>
          <w:szCs w:val="24"/>
          <w:shd w:val="clear" w:color="auto" w:fill="FFFFFF"/>
        </w:rPr>
      </w:pPr>
      <w:r w:rsidRPr="000274FE">
        <w:rPr>
          <w:sz w:val="24"/>
          <w:szCs w:val="24"/>
          <w:shd w:val="clear" w:color="auto" w:fill="FFFFFF"/>
        </w:rPr>
        <w:t>d</w:t>
      </w:r>
      <w:r w:rsidR="00142937" w:rsidRPr="000274FE">
        <w:rPr>
          <w:sz w:val="24"/>
          <w:szCs w:val="24"/>
          <w:shd w:val="clear" w:color="auto" w:fill="FFFFFF"/>
        </w:rPr>
        <w:t>eliberately destroy</w:t>
      </w:r>
      <w:r w:rsidRPr="000274FE">
        <w:rPr>
          <w:sz w:val="24"/>
          <w:szCs w:val="24"/>
          <w:shd w:val="clear" w:color="auto" w:fill="FFFFFF"/>
        </w:rPr>
        <w:t>s</w:t>
      </w:r>
      <w:r w:rsidR="00142937" w:rsidRPr="000274FE">
        <w:rPr>
          <w:sz w:val="24"/>
          <w:szCs w:val="24"/>
          <w:shd w:val="clear" w:color="auto" w:fill="FFFFFF"/>
        </w:rPr>
        <w:t>, hide</w:t>
      </w:r>
      <w:r w:rsidRPr="000274FE">
        <w:rPr>
          <w:sz w:val="24"/>
          <w:szCs w:val="24"/>
          <w:shd w:val="clear" w:color="auto" w:fill="FFFFFF"/>
        </w:rPr>
        <w:t>s</w:t>
      </w:r>
      <w:r w:rsidR="00142937" w:rsidRPr="000274FE">
        <w:rPr>
          <w:sz w:val="24"/>
          <w:szCs w:val="24"/>
          <w:shd w:val="clear" w:color="auto" w:fill="FFFFFF"/>
        </w:rPr>
        <w:t xml:space="preserve"> or alter</w:t>
      </w:r>
      <w:r w:rsidRPr="000274FE">
        <w:rPr>
          <w:sz w:val="24"/>
          <w:szCs w:val="24"/>
          <w:shd w:val="clear" w:color="auto" w:fill="FFFFFF"/>
        </w:rPr>
        <w:t>s</w:t>
      </w:r>
      <w:r w:rsidR="00142937" w:rsidRPr="000274FE">
        <w:rPr>
          <w:sz w:val="24"/>
          <w:szCs w:val="24"/>
          <w:shd w:val="clear" w:color="auto" w:fill="FFFFFF"/>
        </w:rPr>
        <w:t xml:space="preserve"> requested information to prevent it being released. </w:t>
      </w:r>
    </w:p>
    <w:p w14:paraId="707AEE10" w14:textId="688BAD7A" w:rsidR="00142937" w:rsidRPr="000274FE" w:rsidRDefault="00142937" w:rsidP="00142937">
      <w:pPr>
        <w:pStyle w:val="Heading2"/>
        <w:rPr>
          <w:rFonts w:cstheme="minorHAnsi"/>
          <w:sz w:val="24"/>
          <w:szCs w:val="24"/>
          <w:shd w:val="clear" w:color="auto" w:fill="FFFFFF"/>
        </w:rPr>
      </w:pPr>
      <w:r w:rsidRPr="000274FE">
        <w:rPr>
          <w:rFonts w:cstheme="minorHAnsi"/>
          <w:color w:val="000000"/>
          <w:sz w:val="24"/>
          <w:szCs w:val="24"/>
          <w:shd w:val="clear" w:color="auto" w:fill="FFFFFF"/>
        </w:rPr>
        <w:t xml:space="preserve">This last point is the only criminal offence </w:t>
      </w:r>
      <w:r w:rsidR="00B65F82" w:rsidRPr="000274FE">
        <w:rPr>
          <w:rFonts w:cstheme="minorHAnsi"/>
          <w:color w:val="000000"/>
          <w:sz w:val="24"/>
          <w:szCs w:val="24"/>
          <w:shd w:val="clear" w:color="auto" w:fill="FFFFFF"/>
        </w:rPr>
        <w:t>u</w:t>
      </w:r>
      <w:r w:rsidRPr="000274FE">
        <w:rPr>
          <w:rFonts w:cstheme="minorHAnsi"/>
          <w:color w:val="000000"/>
          <w:sz w:val="24"/>
          <w:szCs w:val="24"/>
          <w:shd w:val="clear" w:color="auto" w:fill="FFFFFF"/>
        </w:rPr>
        <w:t>n</w:t>
      </w:r>
      <w:r w:rsidR="00B65F82" w:rsidRPr="000274FE">
        <w:rPr>
          <w:rFonts w:cstheme="minorHAnsi"/>
          <w:color w:val="000000"/>
          <w:sz w:val="24"/>
          <w:szCs w:val="24"/>
          <w:shd w:val="clear" w:color="auto" w:fill="FFFFFF"/>
        </w:rPr>
        <w:t>der</w:t>
      </w:r>
      <w:r w:rsidRPr="000274FE">
        <w:rPr>
          <w:rFonts w:cstheme="minorHAnsi"/>
          <w:color w:val="000000"/>
          <w:sz w:val="24"/>
          <w:szCs w:val="24"/>
          <w:shd w:val="clear" w:color="auto" w:fill="FFFFFF"/>
        </w:rPr>
        <w:t xml:space="preserve"> the Act that individuals and public authorities can be charged with.</w:t>
      </w:r>
    </w:p>
    <w:p w14:paraId="3D381F83" w14:textId="77777777" w:rsidR="00B65F82" w:rsidRPr="000274FE" w:rsidRDefault="00142937" w:rsidP="00273668">
      <w:pPr>
        <w:pStyle w:val="Heading2"/>
        <w:rPr>
          <w:rFonts w:cstheme="minorHAnsi"/>
          <w:color w:val="000000"/>
          <w:sz w:val="24"/>
          <w:szCs w:val="24"/>
          <w:shd w:val="clear" w:color="auto" w:fill="FFFFFF"/>
        </w:rPr>
      </w:pPr>
      <w:r w:rsidRPr="000274FE">
        <w:rPr>
          <w:rFonts w:cstheme="minorHAnsi"/>
          <w:color w:val="000000"/>
          <w:sz w:val="24"/>
          <w:szCs w:val="24"/>
          <w:shd w:val="clear" w:color="auto" w:fill="FFFFFF"/>
        </w:rPr>
        <w:t xml:space="preserve">Other breaches of the Act are unlawful but not criminal. </w:t>
      </w:r>
      <w:r w:rsidR="00B65F82"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The ICO cannot fine the Practice if </w:t>
      </w:r>
      <w:r w:rsidR="00B65F82" w:rsidRPr="000274FE">
        <w:rPr>
          <w:rFonts w:cstheme="minorHAnsi"/>
          <w:color w:val="000000"/>
          <w:sz w:val="24"/>
          <w:szCs w:val="24"/>
          <w:shd w:val="clear" w:color="auto" w:fill="FFFFFF"/>
        </w:rPr>
        <w:t>it fails</w:t>
      </w:r>
      <w:r w:rsidRPr="000274FE">
        <w:rPr>
          <w:rFonts w:cstheme="minorHAnsi"/>
          <w:color w:val="000000"/>
          <w:sz w:val="24"/>
          <w:szCs w:val="24"/>
          <w:shd w:val="clear" w:color="auto" w:fill="FFFFFF"/>
        </w:rPr>
        <w:t xml:space="preserve"> to comply with the Act, nor can the ICO require the Practice to pay compensation to anyone for breaches of the Act. </w:t>
      </w:r>
      <w:r w:rsidR="00B65F82" w:rsidRPr="000274FE">
        <w:rPr>
          <w:rFonts w:cstheme="minorHAnsi"/>
          <w:color w:val="000000"/>
          <w:sz w:val="24"/>
          <w:szCs w:val="24"/>
          <w:shd w:val="clear" w:color="auto" w:fill="FFFFFF"/>
        </w:rPr>
        <w:t xml:space="preserve"> </w:t>
      </w:r>
      <w:r w:rsidRPr="000274FE">
        <w:rPr>
          <w:rFonts w:cstheme="minorHAnsi"/>
          <w:color w:val="000000"/>
          <w:sz w:val="24"/>
          <w:szCs w:val="24"/>
          <w:shd w:val="clear" w:color="auto" w:fill="FFFFFF"/>
        </w:rPr>
        <w:t xml:space="preserve">However, any mistakes </w:t>
      </w:r>
      <w:r w:rsidR="00B65F82" w:rsidRPr="000274FE">
        <w:rPr>
          <w:rFonts w:cstheme="minorHAnsi"/>
          <w:color w:val="000000"/>
          <w:sz w:val="24"/>
          <w:szCs w:val="24"/>
          <w:shd w:val="clear" w:color="auto" w:fill="FFFFFF"/>
        </w:rPr>
        <w:t xml:space="preserve">should be corrected </w:t>
      </w:r>
      <w:r w:rsidRPr="000274FE">
        <w:rPr>
          <w:rFonts w:cstheme="minorHAnsi"/>
          <w:color w:val="000000"/>
          <w:sz w:val="24"/>
          <w:szCs w:val="24"/>
          <w:shd w:val="clear" w:color="auto" w:fill="FFFFFF"/>
        </w:rPr>
        <w:t xml:space="preserve">as soon as </w:t>
      </w:r>
      <w:r w:rsidR="00B65F82" w:rsidRPr="000274FE">
        <w:rPr>
          <w:rFonts w:cstheme="minorHAnsi"/>
          <w:color w:val="000000"/>
          <w:sz w:val="24"/>
          <w:szCs w:val="24"/>
          <w:shd w:val="clear" w:color="auto" w:fill="FFFFFF"/>
        </w:rPr>
        <w:t>the Practice is made</w:t>
      </w:r>
      <w:r w:rsidRPr="000274FE">
        <w:rPr>
          <w:rFonts w:cstheme="minorHAnsi"/>
          <w:color w:val="000000"/>
          <w:sz w:val="24"/>
          <w:szCs w:val="24"/>
          <w:shd w:val="clear" w:color="auto" w:fill="FFFFFF"/>
        </w:rPr>
        <w:t xml:space="preserve"> aware of them.</w:t>
      </w:r>
    </w:p>
    <w:p w14:paraId="67958559" w14:textId="77777777" w:rsidR="00B65F82" w:rsidRDefault="00B65F82">
      <w:pPr>
        <w:rPr>
          <w:rFonts w:eastAsia="Times New Roman" w:cstheme="minorHAnsi"/>
          <w:color w:val="000000"/>
          <w:szCs w:val="24"/>
          <w:shd w:val="clear" w:color="auto" w:fill="FFFFFF"/>
        </w:rPr>
      </w:pPr>
      <w:r>
        <w:rPr>
          <w:rFonts w:cstheme="minorHAnsi"/>
          <w:color w:val="000000"/>
          <w:szCs w:val="24"/>
          <w:shd w:val="clear" w:color="auto" w:fill="FFFFFF"/>
        </w:rPr>
        <w:br w:type="page"/>
      </w:r>
    </w:p>
    <w:p w14:paraId="38830139" w14:textId="3EE111EA" w:rsidR="00142937" w:rsidRPr="0054065B" w:rsidRDefault="00712CEC" w:rsidP="00E717CA">
      <w:pPr>
        <w:pStyle w:val="Title"/>
        <w:ind w:left="720"/>
        <w:jc w:val="right"/>
        <w:rPr>
          <w:color w:val="4472C4" w:themeColor="accent1"/>
        </w:rPr>
      </w:pPr>
      <w:r>
        <w:rPr>
          <w:color w:val="4472C4" w:themeColor="accent1"/>
        </w:rPr>
        <w:lastRenderedPageBreak/>
        <w:t>Part Two</w:t>
      </w:r>
      <w:r w:rsidR="00142937" w:rsidRPr="0054065B">
        <w:rPr>
          <w:color w:val="4472C4" w:themeColor="accent1"/>
        </w:rPr>
        <w:t xml:space="preserve"> – Additional Exemptions</w:t>
      </w:r>
    </w:p>
    <w:p w14:paraId="32FB8BC8" w14:textId="77777777" w:rsidR="00E717CA" w:rsidRPr="0054065B" w:rsidRDefault="00E717CA" w:rsidP="005345EF">
      <w:pPr>
        <w:spacing w:after="0"/>
        <w:rPr>
          <w:color w:val="4472C4" w:themeColor="accent1"/>
        </w:rPr>
      </w:pPr>
    </w:p>
    <w:p w14:paraId="14D2C30C" w14:textId="77777777" w:rsidR="00142937" w:rsidRPr="000274FE" w:rsidRDefault="00142937" w:rsidP="000864F9">
      <w:pPr>
        <w:pStyle w:val="Section"/>
        <w:rPr>
          <w:sz w:val="24"/>
          <w:shd w:val="clear" w:color="auto" w:fill="FFFFFF"/>
        </w:rPr>
      </w:pPr>
      <w:r w:rsidRPr="000274FE">
        <w:rPr>
          <w:sz w:val="24"/>
          <w:shd w:val="clear" w:color="auto" w:fill="FFFFFF"/>
        </w:rPr>
        <w:t>SECTION 23 and 24 – SECURITY BODIES AND NATIONAL SECURITY</w:t>
      </w:r>
    </w:p>
    <w:p w14:paraId="749166F1" w14:textId="50A5444D" w:rsidR="00142937" w:rsidRPr="000274FE" w:rsidRDefault="00142937" w:rsidP="000864F9">
      <w:pPr>
        <w:rPr>
          <w:sz w:val="24"/>
          <w:szCs w:val="24"/>
        </w:rPr>
      </w:pPr>
      <w:r w:rsidRPr="000274FE">
        <w:rPr>
          <w:sz w:val="24"/>
          <w:szCs w:val="24"/>
        </w:rPr>
        <w:t>The section 23 exemption applies to any information received from, or relat</w:t>
      </w:r>
      <w:r w:rsidR="0054065B" w:rsidRPr="000274FE">
        <w:rPr>
          <w:sz w:val="24"/>
          <w:szCs w:val="24"/>
        </w:rPr>
        <w:t>ing</w:t>
      </w:r>
      <w:r w:rsidRPr="000274FE">
        <w:rPr>
          <w:sz w:val="24"/>
          <w:szCs w:val="24"/>
        </w:rPr>
        <w:t xml:space="preserve"> to, any of a list of named security bodies such as the security service.</w:t>
      </w:r>
      <w:r w:rsidR="0054065B" w:rsidRPr="000274FE">
        <w:rPr>
          <w:sz w:val="24"/>
          <w:szCs w:val="24"/>
        </w:rPr>
        <w:t xml:space="preserve"> </w:t>
      </w:r>
      <w:r w:rsidRPr="000274FE">
        <w:rPr>
          <w:sz w:val="24"/>
          <w:szCs w:val="24"/>
        </w:rPr>
        <w:t xml:space="preserve"> </w:t>
      </w:r>
      <w:r w:rsidR="0054065B" w:rsidRPr="000274FE">
        <w:rPr>
          <w:sz w:val="24"/>
          <w:szCs w:val="24"/>
        </w:rPr>
        <w:t xml:space="preserve">The Practice does </w:t>
      </w:r>
      <w:r w:rsidRPr="000274FE">
        <w:rPr>
          <w:sz w:val="24"/>
          <w:szCs w:val="24"/>
        </w:rPr>
        <w:t xml:space="preserve">not have to confirm or deny whether </w:t>
      </w:r>
      <w:r w:rsidR="0054065B" w:rsidRPr="000274FE">
        <w:rPr>
          <w:sz w:val="24"/>
          <w:szCs w:val="24"/>
        </w:rPr>
        <w:t>it</w:t>
      </w:r>
      <w:r w:rsidRPr="000274FE">
        <w:rPr>
          <w:sz w:val="24"/>
          <w:szCs w:val="24"/>
        </w:rPr>
        <w:t xml:space="preserve"> hold</w:t>
      </w:r>
      <w:r w:rsidR="0054065B" w:rsidRPr="000274FE">
        <w:rPr>
          <w:sz w:val="24"/>
          <w:szCs w:val="24"/>
        </w:rPr>
        <w:t>s</w:t>
      </w:r>
      <w:r w:rsidRPr="000274FE">
        <w:rPr>
          <w:sz w:val="24"/>
          <w:szCs w:val="24"/>
        </w:rPr>
        <w:t xml:space="preserve"> the information, if doing so would reveal anything about that body or anything received from it. </w:t>
      </w:r>
      <w:r w:rsidR="0054065B" w:rsidRPr="000274FE">
        <w:rPr>
          <w:sz w:val="24"/>
          <w:szCs w:val="24"/>
        </w:rPr>
        <w:t xml:space="preserve"> </w:t>
      </w:r>
      <w:r w:rsidRPr="000274FE">
        <w:rPr>
          <w:sz w:val="24"/>
          <w:szCs w:val="24"/>
        </w:rPr>
        <w:t>A government minister can issue a certificate confirming that this exemption applies.</w:t>
      </w:r>
    </w:p>
    <w:p w14:paraId="3DDAA777" w14:textId="1319784A" w:rsidR="00142937" w:rsidRPr="000274FE" w:rsidRDefault="00142937" w:rsidP="000864F9">
      <w:pPr>
        <w:rPr>
          <w:sz w:val="24"/>
          <w:szCs w:val="24"/>
        </w:rPr>
      </w:pPr>
      <w:r w:rsidRPr="000274FE">
        <w:rPr>
          <w:sz w:val="24"/>
          <w:szCs w:val="24"/>
        </w:rPr>
        <w:t xml:space="preserve">The section 24 exemption applies if it is “required for the purpose of safeguarding national security”. </w:t>
      </w:r>
      <w:r w:rsidR="0054065B" w:rsidRPr="000274FE">
        <w:rPr>
          <w:sz w:val="24"/>
          <w:szCs w:val="24"/>
        </w:rPr>
        <w:t xml:space="preserve"> </w:t>
      </w:r>
      <w:r w:rsidRPr="000274FE">
        <w:rPr>
          <w:sz w:val="24"/>
          <w:szCs w:val="24"/>
        </w:rPr>
        <w:t>The exemption does not apply just because the information relates to national security.</w:t>
      </w:r>
      <w:r w:rsidR="00D60218" w:rsidRPr="000274FE">
        <w:rPr>
          <w:sz w:val="24"/>
          <w:szCs w:val="24"/>
        </w:rPr>
        <w:t xml:space="preserve">  </w:t>
      </w:r>
      <w:r w:rsidRPr="000274FE">
        <w:rPr>
          <w:sz w:val="24"/>
          <w:szCs w:val="24"/>
        </w:rPr>
        <w:t>This exemption is absolute, so the public interest test</w:t>
      </w:r>
      <w:r w:rsidR="0054065B" w:rsidRPr="000274FE">
        <w:rPr>
          <w:sz w:val="24"/>
          <w:szCs w:val="24"/>
        </w:rPr>
        <w:t xml:space="preserve"> does not need to be considered</w:t>
      </w:r>
      <w:r w:rsidRPr="000274FE">
        <w:rPr>
          <w:sz w:val="24"/>
          <w:szCs w:val="24"/>
        </w:rPr>
        <w:t xml:space="preserve">. </w:t>
      </w:r>
      <w:r w:rsidR="0054065B" w:rsidRPr="000274FE">
        <w:rPr>
          <w:sz w:val="24"/>
          <w:szCs w:val="24"/>
        </w:rPr>
        <w:t xml:space="preserve"> </w:t>
      </w:r>
      <w:r w:rsidRPr="000274FE">
        <w:rPr>
          <w:sz w:val="24"/>
          <w:szCs w:val="24"/>
        </w:rPr>
        <w:t xml:space="preserve">More information on </w:t>
      </w:r>
      <w:hyperlink r:id="rId47" w:history="1">
        <w:r w:rsidRPr="000274FE">
          <w:rPr>
            <w:rStyle w:val="Hyperlink"/>
            <w:color w:val="auto"/>
            <w:sz w:val="24"/>
            <w:szCs w:val="24"/>
          </w:rPr>
          <w:t>s.</w:t>
        </w:r>
        <w:r w:rsidRPr="000274FE">
          <w:rPr>
            <w:rStyle w:val="Hyperlink"/>
            <w:sz w:val="24"/>
            <w:szCs w:val="24"/>
          </w:rPr>
          <w:t>23</w:t>
        </w:r>
      </w:hyperlink>
      <w:r w:rsidRPr="000274FE">
        <w:rPr>
          <w:sz w:val="24"/>
          <w:szCs w:val="24"/>
        </w:rPr>
        <w:t xml:space="preserve"> and s.</w:t>
      </w:r>
      <w:hyperlink r:id="rId48" w:history="1">
        <w:r w:rsidRPr="000274FE">
          <w:rPr>
            <w:rStyle w:val="Hyperlink"/>
            <w:sz w:val="24"/>
            <w:szCs w:val="24"/>
          </w:rPr>
          <w:t>24</w:t>
        </w:r>
      </w:hyperlink>
      <w:r w:rsidRPr="000274FE">
        <w:rPr>
          <w:sz w:val="24"/>
          <w:szCs w:val="24"/>
        </w:rPr>
        <w:t xml:space="preserve"> can be obtained from the ICO.</w:t>
      </w:r>
    </w:p>
    <w:p w14:paraId="08575940" w14:textId="77777777" w:rsidR="00142937" w:rsidRPr="000274FE" w:rsidRDefault="00142937" w:rsidP="000864F9">
      <w:pPr>
        <w:pStyle w:val="Section"/>
        <w:rPr>
          <w:sz w:val="24"/>
        </w:rPr>
      </w:pPr>
      <w:r w:rsidRPr="000274FE">
        <w:rPr>
          <w:sz w:val="24"/>
          <w:shd w:val="clear" w:color="auto" w:fill="FFFFFF"/>
        </w:rPr>
        <w:t>SECTIONS 26 TO 29</w:t>
      </w:r>
    </w:p>
    <w:p w14:paraId="1A0797A3" w14:textId="77777777" w:rsidR="00142937" w:rsidRPr="000274FE" w:rsidRDefault="00142937" w:rsidP="000864F9">
      <w:pPr>
        <w:rPr>
          <w:sz w:val="24"/>
          <w:szCs w:val="24"/>
        </w:rPr>
      </w:pPr>
      <w:r w:rsidRPr="000274FE">
        <w:rPr>
          <w:sz w:val="24"/>
          <w:szCs w:val="24"/>
          <w:shd w:val="clear" w:color="auto" w:fill="FFFFFF"/>
        </w:rPr>
        <w:t>These exemptions are available if complying with the request would prejudice or would be likely to prejudice the following:</w:t>
      </w:r>
    </w:p>
    <w:p w14:paraId="30510236" w14:textId="09BC9BEA" w:rsidR="00142937" w:rsidRPr="000274FE" w:rsidRDefault="0054065B" w:rsidP="001C3383">
      <w:pPr>
        <w:pStyle w:val="ListBullet3"/>
        <w:ind w:left="357"/>
        <w:rPr>
          <w:rFonts w:cstheme="minorHAnsi"/>
          <w:sz w:val="24"/>
          <w:szCs w:val="24"/>
        </w:rPr>
      </w:pPr>
      <w:r w:rsidRPr="000274FE">
        <w:rPr>
          <w:rFonts w:cstheme="minorHAnsi"/>
          <w:sz w:val="24"/>
          <w:szCs w:val="24"/>
        </w:rPr>
        <w:t>d</w:t>
      </w:r>
      <w:r w:rsidR="00142937" w:rsidRPr="000274FE">
        <w:rPr>
          <w:rFonts w:cstheme="minorHAnsi"/>
          <w:sz w:val="24"/>
          <w:szCs w:val="24"/>
        </w:rPr>
        <w:t>efence and the effectiveness of the armed forces (</w:t>
      </w:r>
      <w:hyperlink r:id="rId49" w:history="1">
        <w:r w:rsidR="00142937" w:rsidRPr="000274FE">
          <w:rPr>
            <w:rStyle w:val="Hyperlink"/>
            <w:rFonts w:cstheme="minorHAnsi"/>
            <w:sz w:val="24"/>
            <w:szCs w:val="24"/>
          </w:rPr>
          <w:t>section 26</w:t>
        </w:r>
      </w:hyperlink>
      <w:r w:rsidR="00142937" w:rsidRPr="000274FE">
        <w:rPr>
          <w:rFonts w:cstheme="minorHAnsi"/>
          <w:sz w:val="24"/>
          <w:szCs w:val="24"/>
        </w:rPr>
        <w:t>)</w:t>
      </w:r>
      <w:r w:rsidRPr="000274FE">
        <w:rPr>
          <w:rFonts w:cstheme="minorHAnsi"/>
          <w:sz w:val="24"/>
          <w:szCs w:val="24"/>
        </w:rPr>
        <w:t>;</w:t>
      </w:r>
    </w:p>
    <w:p w14:paraId="2ECE9BB9" w14:textId="16A1A8C3" w:rsidR="00142937" w:rsidRPr="000274FE" w:rsidRDefault="0054065B" w:rsidP="001C3383">
      <w:pPr>
        <w:pStyle w:val="ListBullet3"/>
        <w:ind w:left="357"/>
        <w:rPr>
          <w:rFonts w:cstheme="minorHAnsi"/>
          <w:sz w:val="24"/>
          <w:szCs w:val="24"/>
        </w:rPr>
      </w:pPr>
      <w:r w:rsidRPr="000274FE">
        <w:rPr>
          <w:rFonts w:cstheme="minorHAnsi"/>
          <w:sz w:val="24"/>
          <w:szCs w:val="24"/>
        </w:rPr>
        <w:t>i</w:t>
      </w:r>
      <w:r w:rsidR="00142937" w:rsidRPr="000274FE">
        <w:rPr>
          <w:rFonts w:cstheme="minorHAnsi"/>
          <w:sz w:val="24"/>
          <w:szCs w:val="24"/>
        </w:rPr>
        <w:t>nternational relations, including confidential information obtained from other states, courts or international organisations (</w:t>
      </w:r>
      <w:hyperlink r:id="rId50" w:history="1">
        <w:r w:rsidR="00142937" w:rsidRPr="000274FE">
          <w:rPr>
            <w:rStyle w:val="Hyperlink"/>
            <w:rFonts w:cstheme="minorHAnsi"/>
            <w:sz w:val="24"/>
            <w:szCs w:val="24"/>
          </w:rPr>
          <w:t>section 27</w:t>
        </w:r>
      </w:hyperlink>
      <w:r w:rsidR="00142937" w:rsidRPr="000274FE">
        <w:rPr>
          <w:rFonts w:cstheme="minorHAnsi"/>
          <w:sz w:val="24"/>
          <w:szCs w:val="24"/>
        </w:rPr>
        <w:t>)</w:t>
      </w:r>
      <w:r w:rsidRPr="000274FE">
        <w:rPr>
          <w:rFonts w:cstheme="minorHAnsi"/>
          <w:sz w:val="24"/>
          <w:szCs w:val="24"/>
        </w:rPr>
        <w:t>;</w:t>
      </w:r>
    </w:p>
    <w:p w14:paraId="4738D456" w14:textId="34C9F217" w:rsidR="00142937" w:rsidRPr="000274FE" w:rsidRDefault="0054065B" w:rsidP="001C3383">
      <w:pPr>
        <w:pStyle w:val="ListBullet3"/>
        <w:ind w:left="357"/>
        <w:rPr>
          <w:rFonts w:cstheme="minorHAnsi"/>
          <w:sz w:val="24"/>
          <w:szCs w:val="24"/>
        </w:rPr>
      </w:pPr>
      <w:r w:rsidRPr="000274FE">
        <w:rPr>
          <w:rFonts w:cstheme="minorHAnsi"/>
          <w:sz w:val="24"/>
          <w:szCs w:val="24"/>
        </w:rPr>
        <w:t>r</w:t>
      </w:r>
      <w:r w:rsidR="00142937" w:rsidRPr="000274FE">
        <w:rPr>
          <w:rFonts w:cstheme="minorHAnsi"/>
          <w:sz w:val="24"/>
          <w:szCs w:val="24"/>
        </w:rPr>
        <w:t>elations between the UK government, the Scottish Executive, the Welsh Assembly and the Northern Ireland Executive (</w:t>
      </w:r>
      <w:hyperlink r:id="rId51" w:history="1">
        <w:r w:rsidR="00142937" w:rsidRPr="000274FE">
          <w:rPr>
            <w:rStyle w:val="Hyperlink"/>
            <w:rFonts w:cstheme="minorHAnsi"/>
            <w:sz w:val="24"/>
            <w:szCs w:val="24"/>
          </w:rPr>
          <w:t>section 28</w:t>
        </w:r>
      </w:hyperlink>
      <w:r w:rsidR="00142937" w:rsidRPr="000274FE">
        <w:rPr>
          <w:rFonts w:cstheme="minorHAnsi"/>
          <w:sz w:val="24"/>
          <w:szCs w:val="24"/>
        </w:rPr>
        <w:t>)</w:t>
      </w:r>
      <w:r w:rsidRPr="000274FE">
        <w:rPr>
          <w:rFonts w:cstheme="minorHAnsi"/>
          <w:sz w:val="24"/>
          <w:szCs w:val="24"/>
        </w:rPr>
        <w:t>;</w:t>
      </w:r>
    </w:p>
    <w:p w14:paraId="6A36AFB2" w14:textId="4A922E1E" w:rsidR="00142937" w:rsidRPr="000274FE" w:rsidRDefault="0054065B" w:rsidP="001C3383">
      <w:pPr>
        <w:pStyle w:val="ListBullet3"/>
        <w:ind w:left="357"/>
        <w:rPr>
          <w:rFonts w:cstheme="minorHAnsi"/>
          <w:sz w:val="24"/>
          <w:szCs w:val="24"/>
        </w:rPr>
      </w:pPr>
      <w:r w:rsidRPr="000274FE">
        <w:rPr>
          <w:rFonts w:cstheme="minorHAnsi"/>
          <w:sz w:val="24"/>
          <w:szCs w:val="24"/>
        </w:rPr>
        <w:t>t</w:t>
      </w:r>
      <w:r w:rsidR="00142937" w:rsidRPr="000274FE">
        <w:rPr>
          <w:rFonts w:cstheme="minorHAnsi"/>
          <w:sz w:val="24"/>
          <w:szCs w:val="24"/>
        </w:rPr>
        <w:t>he economy and financial interests of the UK, Scottish, Welsh or Northern Irish administrations (</w:t>
      </w:r>
      <w:hyperlink r:id="rId52" w:history="1">
        <w:r w:rsidR="00142937" w:rsidRPr="000274FE">
          <w:rPr>
            <w:rStyle w:val="Hyperlink"/>
            <w:rFonts w:cstheme="minorHAnsi"/>
            <w:sz w:val="24"/>
            <w:szCs w:val="24"/>
          </w:rPr>
          <w:t>section 29</w:t>
        </w:r>
      </w:hyperlink>
      <w:r w:rsidR="00142937" w:rsidRPr="000274FE">
        <w:rPr>
          <w:rFonts w:cstheme="minorHAnsi"/>
          <w:sz w:val="24"/>
          <w:szCs w:val="24"/>
        </w:rPr>
        <w:t>)</w:t>
      </w:r>
      <w:r w:rsidRPr="000274FE">
        <w:rPr>
          <w:rFonts w:cstheme="minorHAnsi"/>
          <w:sz w:val="24"/>
          <w:szCs w:val="24"/>
        </w:rPr>
        <w:t>.</w:t>
      </w:r>
    </w:p>
    <w:p w14:paraId="4EFF324E" w14:textId="77777777" w:rsidR="00142937" w:rsidRPr="000274FE" w:rsidRDefault="00142937" w:rsidP="000864F9">
      <w:pPr>
        <w:rPr>
          <w:sz w:val="24"/>
          <w:szCs w:val="24"/>
        </w:rPr>
      </w:pPr>
      <w:r w:rsidRPr="000274FE">
        <w:rPr>
          <w:sz w:val="24"/>
          <w:szCs w:val="24"/>
        </w:rPr>
        <w:t xml:space="preserve">All these exemptions are qualified by the public interest test. </w:t>
      </w:r>
    </w:p>
    <w:p w14:paraId="2F39B0BB" w14:textId="3E74ADEC" w:rsidR="00142937" w:rsidRPr="000274FE" w:rsidRDefault="00142937" w:rsidP="000864F9">
      <w:pPr>
        <w:pStyle w:val="Section"/>
        <w:rPr>
          <w:sz w:val="24"/>
        </w:rPr>
      </w:pPr>
      <w:r w:rsidRPr="000274FE">
        <w:rPr>
          <w:sz w:val="24"/>
        </w:rPr>
        <w:t>SECTIONS 30 AND 31 – INVESTIGATIONS AND PREJUDICE TO LAW ENFORCEMENT</w:t>
      </w:r>
    </w:p>
    <w:p w14:paraId="533DB9F8" w14:textId="08C92A8C" w:rsidR="00142937" w:rsidRPr="000274FE" w:rsidRDefault="00142937" w:rsidP="000864F9">
      <w:pPr>
        <w:rPr>
          <w:sz w:val="24"/>
          <w:szCs w:val="24"/>
        </w:rPr>
      </w:pPr>
      <w:r w:rsidRPr="000274FE">
        <w:rPr>
          <w:sz w:val="24"/>
          <w:szCs w:val="24"/>
        </w:rPr>
        <w:t xml:space="preserve">Section 30 exemption applies to a specific category of information that a public authority currently holds or has ever held for the purposes of criminal investigations. </w:t>
      </w:r>
      <w:r w:rsidR="0054065B" w:rsidRPr="000274FE">
        <w:rPr>
          <w:sz w:val="24"/>
          <w:szCs w:val="24"/>
        </w:rPr>
        <w:t xml:space="preserve"> </w:t>
      </w:r>
      <w:r w:rsidRPr="000274FE">
        <w:rPr>
          <w:sz w:val="24"/>
          <w:szCs w:val="24"/>
        </w:rPr>
        <w:t>It also applies to information obtained in certain other types of investigations, if it relates to obtaining information from confidential sources.</w:t>
      </w:r>
    </w:p>
    <w:p w14:paraId="5C717F26" w14:textId="5149CA6A" w:rsidR="00142937" w:rsidRDefault="00142937" w:rsidP="000864F9">
      <w:pPr>
        <w:rPr>
          <w:sz w:val="24"/>
          <w:szCs w:val="24"/>
        </w:rPr>
      </w:pPr>
      <w:r w:rsidRPr="000274FE">
        <w:rPr>
          <w:sz w:val="24"/>
          <w:szCs w:val="24"/>
        </w:rPr>
        <w:t>When information does not fall under either of these headings, but disclosure could still prejudice law enforcement, section 31 is the relevant exemption.</w:t>
      </w:r>
      <w:r w:rsidR="0054065B" w:rsidRPr="000274FE">
        <w:rPr>
          <w:sz w:val="24"/>
          <w:szCs w:val="24"/>
        </w:rPr>
        <w:t xml:space="preserve"> </w:t>
      </w:r>
      <w:r w:rsidRPr="000274FE">
        <w:rPr>
          <w:sz w:val="24"/>
          <w:szCs w:val="24"/>
        </w:rPr>
        <w:t xml:space="preserve"> Section 31 applies where complying with the request would prejudice or would be likely to prejudice various law enforcement purposes (listed in the Act) including preventing crime, administering justice, and collecting tax. </w:t>
      </w:r>
      <w:r w:rsidR="0054065B" w:rsidRPr="000274FE">
        <w:rPr>
          <w:sz w:val="24"/>
          <w:szCs w:val="24"/>
        </w:rPr>
        <w:t xml:space="preserve"> </w:t>
      </w:r>
      <w:r w:rsidRPr="000274FE">
        <w:rPr>
          <w:sz w:val="24"/>
          <w:szCs w:val="24"/>
        </w:rPr>
        <w:t>It also protects certain other regulatory functions, for example those relating to health and safety and charity administration.</w:t>
      </w:r>
      <w:r w:rsidR="00D60218" w:rsidRPr="000274FE">
        <w:rPr>
          <w:sz w:val="24"/>
          <w:szCs w:val="24"/>
        </w:rPr>
        <w:t xml:space="preserve">  </w:t>
      </w:r>
      <w:r w:rsidRPr="000274FE">
        <w:rPr>
          <w:sz w:val="24"/>
          <w:szCs w:val="24"/>
        </w:rPr>
        <w:t xml:space="preserve">Both exemptions are qualified by the public interest test. </w:t>
      </w:r>
      <w:r w:rsidR="0054065B" w:rsidRPr="000274FE">
        <w:rPr>
          <w:sz w:val="24"/>
          <w:szCs w:val="24"/>
        </w:rPr>
        <w:t xml:space="preserve"> </w:t>
      </w:r>
      <w:r w:rsidRPr="000274FE">
        <w:rPr>
          <w:sz w:val="24"/>
          <w:szCs w:val="24"/>
        </w:rPr>
        <w:t xml:space="preserve">More information on </w:t>
      </w:r>
      <w:hyperlink r:id="rId53" w:history="1">
        <w:r w:rsidRPr="000274FE">
          <w:rPr>
            <w:rStyle w:val="Hyperlink"/>
            <w:sz w:val="24"/>
            <w:szCs w:val="24"/>
          </w:rPr>
          <w:t>section 30</w:t>
        </w:r>
      </w:hyperlink>
      <w:r w:rsidRPr="000274FE">
        <w:rPr>
          <w:sz w:val="24"/>
          <w:szCs w:val="24"/>
        </w:rPr>
        <w:t xml:space="preserve"> and </w:t>
      </w:r>
      <w:hyperlink r:id="rId54" w:history="1">
        <w:r w:rsidRPr="000274FE">
          <w:rPr>
            <w:rStyle w:val="Hyperlink"/>
            <w:sz w:val="24"/>
            <w:szCs w:val="24"/>
          </w:rPr>
          <w:t>section 31</w:t>
        </w:r>
      </w:hyperlink>
      <w:r w:rsidRPr="000274FE">
        <w:rPr>
          <w:sz w:val="24"/>
          <w:szCs w:val="24"/>
        </w:rPr>
        <w:t xml:space="preserve"> can be obtained from the ICO.</w:t>
      </w:r>
    </w:p>
    <w:p w14:paraId="5AFE767E" w14:textId="77777777" w:rsidR="00C67A3B" w:rsidRPr="000274FE" w:rsidRDefault="00C67A3B" w:rsidP="000864F9">
      <w:pPr>
        <w:rPr>
          <w:sz w:val="24"/>
          <w:szCs w:val="24"/>
        </w:rPr>
      </w:pPr>
    </w:p>
    <w:p w14:paraId="0927CF78" w14:textId="3340B1BB" w:rsidR="00142937" w:rsidRPr="000274FE" w:rsidRDefault="00142937" w:rsidP="000864F9">
      <w:pPr>
        <w:pStyle w:val="Section"/>
        <w:rPr>
          <w:sz w:val="24"/>
        </w:rPr>
      </w:pPr>
      <w:r w:rsidRPr="000274FE">
        <w:rPr>
          <w:sz w:val="24"/>
        </w:rPr>
        <w:lastRenderedPageBreak/>
        <w:t>SECTION 33 -</w:t>
      </w:r>
      <w:r w:rsidR="000864F9" w:rsidRPr="000274FE">
        <w:rPr>
          <w:sz w:val="24"/>
        </w:rPr>
        <w:t xml:space="preserve"> </w:t>
      </w:r>
      <w:r w:rsidRPr="000274FE">
        <w:rPr>
          <w:sz w:val="24"/>
        </w:rPr>
        <w:t>PREJUDICE TO AUDIT FUNCTIONS</w:t>
      </w:r>
    </w:p>
    <w:p w14:paraId="77846289" w14:textId="77777777" w:rsidR="009E5B19" w:rsidRPr="000274FE" w:rsidRDefault="00142937" w:rsidP="000864F9">
      <w:pPr>
        <w:rPr>
          <w:sz w:val="24"/>
          <w:szCs w:val="24"/>
        </w:rPr>
      </w:pPr>
      <w:r w:rsidRPr="000274FE">
        <w:rPr>
          <w:sz w:val="24"/>
          <w:szCs w:val="24"/>
        </w:rPr>
        <w:t>This exemption can only be used by bodies with audit functions.</w:t>
      </w:r>
      <w:r w:rsidR="00D60218" w:rsidRPr="000274FE">
        <w:rPr>
          <w:sz w:val="24"/>
          <w:szCs w:val="24"/>
        </w:rPr>
        <w:t xml:space="preserve"> </w:t>
      </w:r>
      <w:r w:rsidRPr="000274FE">
        <w:rPr>
          <w:sz w:val="24"/>
          <w:szCs w:val="24"/>
        </w:rPr>
        <w:t xml:space="preserve"> It applies where complying with the request would prejudice or would be likely to prejudice those functions.</w:t>
      </w:r>
      <w:r w:rsidR="00D60218" w:rsidRPr="000274FE">
        <w:rPr>
          <w:sz w:val="24"/>
          <w:szCs w:val="24"/>
        </w:rPr>
        <w:t xml:space="preserve">  </w:t>
      </w:r>
    </w:p>
    <w:p w14:paraId="07F321D6" w14:textId="00E54B3F" w:rsidR="00142937" w:rsidRPr="000274FE" w:rsidRDefault="00142937" w:rsidP="000864F9">
      <w:pPr>
        <w:rPr>
          <w:sz w:val="24"/>
          <w:szCs w:val="24"/>
        </w:rPr>
      </w:pPr>
      <w:r w:rsidRPr="000274FE">
        <w:rPr>
          <w:sz w:val="24"/>
          <w:szCs w:val="24"/>
        </w:rPr>
        <w:t xml:space="preserve">This exemption is qualified by the public interest test. </w:t>
      </w:r>
      <w:r w:rsidR="00D60218" w:rsidRPr="000274FE">
        <w:rPr>
          <w:sz w:val="24"/>
          <w:szCs w:val="24"/>
        </w:rPr>
        <w:t xml:space="preserve"> </w:t>
      </w:r>
      <w:r w:rsidRPr="000274FE">
        <w:rPr>
          <w:sz w:val="24"/>
          <w:szCs w:val="24"/>
        </w:rPr>
        <w:t xml:space="preserve">More information on section 33 can be obtained from the </w:t>
      </w:r>
      <w:hyperlink r:id="rId55" w:history="1">
        <w:r w:rsidRPr="000274FE">
          <w:rPr>
            <w:rStyle w:val="Hyperlink"/>
            <w:sz w:val="24"/>
            <w:szCs w:val="24"/>
          </w:rPr>
          <w:t>ICO</w:t>
        </w:r>
      </w:hyperlink>
      <w:r w:rsidRPr="000274FE">
        <w:rPr>
          <w:sz w:val="24"/>
          <w:szCs w:val="24"/>
        </w:rPr>
        <w:t>.</w:t>
      </w:r>
    </w:p>
    <w:p w14:paraId="1565C212" w14:textId="2FB754B0" w:rsidR="00142937" w:rsidRPr="000274FE" w:rsidRDefault="00142937" w:rsidP="000864F9">
      <w:pPr>
        <w:pStyle w:val="Section"/>
        <w:rPr>
          <w:sz w:val="24"/>
          <w:shd w:val="clear" w:color="auto" w:fill="FFFFFF"/>
        </w:rPr>
      </w:pPr>
      <w:r w:rsidRPr="000274FE">
        <w:rPr>
          <w:sz w:val="24"/>
          <w:shd w:val="clear" w:color="auto" w:fill="FFFFFF"/>
        </w:rPr>
        <w:t>SECTION 34 -</w:t>
      </w:r>
      <w:r w:rsidR="00115ECA">
        <w:rPr>
          <w:sz w:val="24"/>
          <w:shd w:val="clear" w:color="auto" w:fill="FFFFFF"/>
        </w:rPr>
        <w:t xml:space="preserve"> </w:t>
      </w:r>
      <w:r w:rsidRPr="000274FE">
        <w:rPr>
          <w:sz w:val="24"/>
          <w:shd w:val="clear" w:color="auto" w:fill="FFFFFF"/>
        </w:rPr>
        <w:t>PARLIAMENTARY PRIVILEDGE</w:t>
      </w:r>
    </w:p>
    <w:p w14:paraId="207EB8B6" w14:textId="77777777" w:rsidR="009E5B19" w:rsidRPr="000274FE" w:rsidRDefault="00D60218" w:rsidP="000864F9">
      <w:pPr>
        <w:rPr>
          <w:sz w:val="24"/>
          <w:szCs w:val="24"/>
        </w:rPr>
      </w:pPr>
      <w:r w:rsidRPr="000274FE">
        <w:rPr>
          <w:sz w:val="24"/>
          <w:szCs w:val="24"/>
        </w:rPr>
        <w:t>This</w:t>
      </w:r>
      <w:r w:rsidR="00142937" w:rsidRPr="000274FE">
        <w:rPr>
          <w:sz w:val="24"/>
          <w:szCs w:val="24"/>
        </w:rPr>
        <w:t xml:space="preserve"> exemption </w:t>
      </w:r>
      <w:r w:rsidRPr="000274FE">
        <w:rPr>
          <w:sz w:val="24"/>
          <w:szCs w:val="24"/>
        </w:rPr>
        <w:t xml:space="preserve">can be used </w:t>
      </w:r>
      <w:r w:rsidR="00142937" w:rsidRPr="000274FE">
        <w:rPr>
          <w:sz w:val="24"/>
          <w:szCs w:val="24"/>
        </w:rPr>
        <w:t xml:space="preserve">to avoid an infringement of parliamentary privilege. </w:t>
      </w:r>
      <w:r w:rsidRPr="000274FE">
        <w:rPr>
          <w:sz w:val="24"/>
          <w:szCs w:val="24"/>
        </w:rPr>
        <w:t xml:space="preserve"> </w:t>
      </w:r>
      <w:r w:rsidR="00142937" w:rsidRPr="000274FE">
        <w:rPr>
          <w:sz w:val="24"/>
          <w:szCs w:val="24"/>
        </w:rPr>
        <w:t xml:space="preserve">Parliamentary privilege protects the independence of Parliament and gives each House of Parliament the exclusive right to oversee its own affairs. </w:t>
      </w:r>
      <w:r w:rsidRPr="000274FE">
        <w:rPr>
          <w:sz w:val="24"/>
          <w:szCs w:val="24"/>
        </w:rPr>
        <w:t xml:space="preserve"> </w:t>
      </w:r>
      <w:r w:rsidR="00142937" w:rsidRPr="000274FE">
        <w:rPr>
          <w:sz w:val="24"/>
          <w:szCs w:val="24"/>
        </w:rPr>
        <w:t>Parliament itself defines parliamentary privilege, and the Speaker of the House of Commons can issue a certificate confirming that this exemption applies; the Clerk of the Parliaments can do the same for the House of Lords.</w:t>
      </w:r>
      <w:r w:rsidR="00D74563" w:rsidRPr="000274FE">
        <w:rPr>
          <w:sz w:val="24"/>
          <w:szCs w:val="24"/>
        </w:rPr>
        <w:t xml:space="preserve">  </w:t>
      </w:r>
    </w:p>
    <w:p w14:paraId="66588F0F" w14:textId="2CC519E2" w:rsidR="00142937" w:rsidRPr="000274FE" w:rsidRDefault="00142937" w:rsidP="000864F9">
      <w:pPr>
        <w:rPr>
          <w:sz w:val="24"/>
          <w:szCs w:val="24"/>
        </w:rPr>
      </w:pPr>
      <w:r w:rsidRPr="000274FE">
        <w:rPr>
          <w:sz w:val="24"/>
          <w:szCs w:val="24"/>
        </w:rPr>
        <w:t>This exemption is absolute.</w:t>
      </w:r>
      <w:r w:rsidR="00D60218" w:rsidRPr="000274FE">
        <w:rPr>
          <w:sz w:val="24"/>
          <w:szCs w:val="24"/>
        </w:rPr>
        <w:t xml:space="preserve"> </w:t>
      </w:r>
      <w:r w:rsidRPr="000274FE">
        <w:rPr>
          <w:sz w:val="24"/>
          <w:szCs w:val="24"/>
        </w:rPr>
        <w:t xml:space="preserve"> More information on section 34 can be obtained from the </w:t>
      </w:r>
      <w:hyperlink r:id="rId56" w:history="1">
        <w:r w:rsidRPr="000274FE">
          <w:rPr>
            <w:rStyle w:val="Hyperlink"/>
            <w:sz w:val="24"/>
            <w:szCs w:val="24"/>
          </w:rPr>
          <w:t>ICO</w:t>
        </w:r>
      </w:hyperlink>
      <w:r w:rsidRPr="000274FE">
        <w:rPr>
          <w:sz w:val="24"/>
          <w:szCs w:val="24"/>
        </w:rPr>
        <w:t>.</w:t>
      </w:r>
    </w:p>
    <w:p w14:paraId="6E75265C" w14:textId="77777777" w:rsidR="00142937" w:rsidRPr="000274FE" w:rsidRDefault="00142937" w:rsidP="000864F9">
      <w:pPr>
        <w:pStyle w:val="Section"/>
        <w:rPr>
          <w:sz w:val="24"/>
        </w:rPr>
      </w:pPr>
      <w:r w:rsidRPr="000274FE">
        <w:rPr>
          <w:sz w:val="24"/>
        </w:rPr>
        <w:t>SECTION 35 AND 36 – GOVERNMENT POLICY AND PREJUDICE TO THE EFFECTIVE CONDUCT OF PUBLIC AFFAIRS</w:t>
      </w:r>
    </w:p>
    <w:p w14:paraId="1F4D978D" w14:textId="141D0FC1" w:rsidR="00142937" w:rsidRPr="000274FE" w:rsidRDefault="00142937" w:rsidP="000864F9">
      <w:pPr>
        <w:rPr>
          <w:sz w:val="24"/>
          <w:szCs w:val="24"/>
        </w:rPr>
      </w:pPr>
      <w:r w:rsidRPr="000274FE">
        <w:rPr>
          <w:sz w:val="24"/>
          <w:szCs w:val="24"/>
        </w:rPr>
        <w:t>The section 35 exemption can only be claimed by government departments or by the Welsh Assembly Government.</w:t>
      </w:r>
      <w:r w:rsidR="00D60218" w:rsidRPr="000274FE">
        <w:rPr>
          <w:sz w:val="24"/>
          <w:szCs w:val="24"/>
        </w:rPr>
        <w:t xml:space="preserve"> </w:t>
      </w:r>
      <w:r w:rsidRPr="000274FE">
        <w:rPr>
          <w:sz w:val="24"/>
          <w:szCs w:val="24"/>
        </w:rPr>
        <w:t xml:space="preserve"> It is a class-based exemption, for information relating to:</w:t>
      </w:r>
    </w:p>
    <w:p w14:paraId="7EBBC713" w14:textId="156FABA9" w:rsidR="00142937" w:rsidRPr="000274FE" w:rsidRDefault="00D60218" w:rsidP="000864F9">
      <w:pPr>
        <w:pStyle w:val="ListBullet3"/>
        <w:rPr>
          <w:sz w:val="24"/>
          <w:szCs w:val="24"/>
        </w:rPr>
      </w:pPr>
      <w:r w:rsidRPr="000274FE">
        <w:rPr>
          <w:sz w:val="24"/>
          <w:szCs w:val="24"/>
        </w:rPr>
        <w:t>t</w:t>
      </w:r>
      <w:r w:rsidR="00142937" w:rsidRPr="000274FE">
        <w:rPr>
          <w:sz w:val="24"/>
          <w:szCs w:val="24"/>
        </w:rPr>
        <w:t xml:space="preserve">he formulation or development of government </w:t>
      </w:r>
      <w:proofErr w:type="gramStart"/>
      <w:r w:rsidR="00142937" w:rsidRPr="000274FE">
        <w:rPr>
          <w:sz w:val="24"/>
          <w:szCs w:val="24"/>
        </w:rPr>
        <w:t>policy;</w:t>
      </w:r>
      <w:proofErr w:type="gramEnd"/>
    </w:p>
    <w:p w14:paraId="04D10F5A" w14:textId="134DCEE1" w:rsidR="00142937" w:rsidRPr="000274FE" w:rsidRDefault="00D60218" w:rsidP="000864F9">
      <w:pPr>
        <w:pStyle w:val="ListBullet3"/>
        <w:rPr>
          <w:sz w:val="24"/>
          <w:szCs w:val="24"/>
        </w:rPr>
      </w:pPr>
      <w:r w:rsidRPr="000274FE">
        <w:rPr>
          <w:sz w:val="24"/>
          <w:szCs w:val="24"/>
        </w:rPr>
        <w:t>c</w:t>
      </w:r>
      <w:r w:rsidR="00142937" w:rsidRPr="000274FE">
        <w:rPr>
          <w:sz w:val="24"/>
          <w:szCs w:val="24"/>
        </w:rPr>
        <w:t xml:space="preserve">ommunications between </w:t>
      </w:r>
      <w:proofErr w:type="gramStart"/>
      <w:r w:rsidR="00142937" w:rsidRPr="000274FE">
        <w:rPr>
          <w:sz w:val="24"/>
          <w:szCs w:val="24"/>
        </w:rPr>
        <w:t>ministers</w:t>
      </w:r>
      <w:r w:rsidRPr="000274FE">
        <w:rPr>
          <w:sz w:val="24"/>
          <w:szCs w:val="24"/>
        </w:rPr>
        <w:t>;</w:t>
      </w:r>
      <w:proofErr w:type="gramEnd"/>
    </w:p>
    <w:p w14:paraId="6346B574" w14:textId="2DD200AF" w:rsidR="00142937" w:rsidRPr="000274FE" w:rsidRDefault="00D60218" w:rsidP="000864F9">
      <w:pPr>
        <w:pStyle w:val="ListBullet3"/>
        <w:rPr>
          <w:sz w:val="24"/>
          <w:szCs w:val="24"/>
        </w:rPr>
      </w:pPr>
      <w:r w:rsidRPr="000274FE">
        <w:rPr>
          <w:sz w:val="24"/>
          <w:szCs w:val="24"/>
        </w:rPr>
        <w:t>a</w:t>
      </w:r>
      <w:r w:rsidR="00142937" w:rsidRPr="000274FE">
        <w:rPr>
          <w:sz w:val="24"/>
          <w:szCs w:val="24"/>
        </w:rPr>
        <w:t>dvice from the law officers; and</w:t>
      </w:r>
    </w:p>
    <w:p w14:paraId="2AAC011A" w14:textId="7CAAB70E" w:rsidR="00142937" w:rsidRPr="000274FE" w:rsidRDefault="00D60218" w:rsidP="000864F9">
      <w:pPr>
        <w:pStyle w:val="ListBullet3"/>
        <w:rPr>
          <w:sz w:val="24"/>
          <w:szCs w:val="24"/>
        </w:rPr>
      </w:pPr>
      <w:r w:rsidRPr="000274FE">
        <w:rPr>
          <w:sz w:val="24"/>
          <w:szCs w:val="24"/>
        </w:rPr>
        <w:t>t</w:t>
      </w:r>
      <w:r w:rsidR="00142937" w:rsidRPr="000274FE">
        <w:rPr>
          <w:sz w:val="24"/>
          <w:szCs w:val="24"/>
        </w:rPr>
        <w:t>he operation of any ministerial private office</w:t>
      </w:r>
      <w:r w:rsidRPr="000274FE">
        <w:rPr>
          <w:sz w:val="24"/>
          <w:szCs w:val="24"/>
        </w:rPr>
        <w:t>.</w:t>
      </w:r>
    </w:p>
    <w:p w14:paraId="23B313BF" w14:textId="3C3D951D" w:rsidR="00142937" w:rsidRPr="000274FE" w:rsidRDefault="00142937" w:rsidP="000864F9">
      <w:pPr>
        <w:rPr>
          <w:sz w:val="24"/>
          <w:szCs w:val="24"/>
        </w:rPr>
      </w:pPr>
      <w:r w:rsidRPr="000274FE">
        <w:rPr>
          <w:sz w:val="24"/>
          <w:szCs w:val="24"/>
        </w:rPr>
        <w:t xml:space="preserve">Section 35 is qualified by the public interest test. </w:t>
      </w:r>
      <w:r w:rsidR="00D60218" w:rsidRPr="000274FE">
        <w:rPr>
          <w:sz w:val="24"/>
          <w:szCs w:val="24"/>
        </w:rPr>
        <w:t xml:space="preserve"> </w:t>
      </w:r>
      <w:r w:rsidRPr="000274FE">
        <w:rPr>
          <w:sz w:val="24"/>
          <w:szCs w:val="24"/>
        </w:rPr>
        <w:t>For policy-related information held by other public authorities, or other information that falls outside this exemption but needs to be withheld for similar reasons, the section 36 exemption applies.</w:t>
      </w:r>
    </w:p>
    <w:p w14:paraId="68ABDCD4" w14:textId="71B18BE2" w:rsidR="00D60218" w:rsidRPr="000274FE" w:rsidRDefault="00142937" w:rsidP="000864F9">
      <w:pPr>
        <w:rPr>
          <w:sz w:val="24"/>
          <w:szCs w:val="24"/>
        </w:rPr>
      </w:pPr>
      <w:r w:rsidRPr="000274FE">
        <w:rPr>
          <w:sz w:val="24"/>
          <w:szCs w:val="24"/>
        </w:rPr>
        <w:t xml:space="preserve">The section 36 exemption applies only to information that falls outside the scope of section 35. </w:t>
      </w:r>
      <w:r w:rsidR="00D60218" w:rsidRPr="000274FE">
        <w:rPr>
          <w:sz w:val="24"/>
          <w:szCs w:val="24"/>
        </w:rPr>
        <w:t xml:space="preserve"> </w:t>
      </w:r>
      <w:r w:rsidRPr="000274FE">
        <w:rPr>
          <w:sz w:val="24"/>
          <w:szCs w:val="24"/>
        </w:rPr>
        <w:t xml:space="preserve">It applies where complying with the request would prejudice or would be likely to prejudice “the effective conduct of public affairs”. </w:t>
      </w:r>
      <w:r w:rsidR="00D60218" w:rsidRPr="000274FE">
        <w:rPr>
          <w:sz w:val="24"/>
          <w:szCs w:val="24"/>
        </w:rPr>
        <w:t xml:space="preserve"> </w:t>
      </w:r>
      <w:r w:rsidRPr="000274FE">
        <w:rPr>
          <w:sz w:val="24"/>
          <w:szCs w:val="24"/>
        </w:rPr>
        <w:t>This includes, but is not limited to, situations where disclosure would inhibit free and frank advice and discussion.</w:t>
      </w:r>
      <w:r w:rsidR="00D60218" w:rsidRPr="000274FE">
        <w:rPr>
          <w:sz w:val="24"/>
          <w:szCs w:val="24"/>
        </w:rPr>
        <w:t xml:space="preserve">  </w:t>
      </w:r>
      <w:r w:rsidRPr="000274FE">
        <w:rPr>
          <w:sz w:val="24"/>
          <w:szCs w:val="24"/>
        </w:rPr>
        <w:t xml:space="preserve">Section 36 differs from all other prejudice exemptions in that the judgement about prejudice must be made by the legally authorised qualified person for that public authority. </w:t>
      </w:r>
      <w:r w:rsidR="00D60218" w:rsidRPr="000274FE">
        <w:rPr>
          <w:sz w:val="24"/>
          <w:szCs w:val="24"/>
        </w:rPr>
        <w:t xml:space="preserve"> </w:t>
      </w:r>
      <w:r w:rsidRPr="000274FE">
        <w:rPr>
          <w:sz w:val="24"/>
          <w:szCs w:val="24"/>
        </w:rPr>
        <w:t xml:space="preserve">A list of qualified people is given in the Act, and others may have been designated. </w:t>
      </w:r>
      <w:r w:rsidR="00D60218" w:rsidRPr="000274FE">
        <w:rPr>
          <w:sz w:val="24"/>
          <w:szCs w:val="24"/>
        </w:rPr>
        <w:t xml:space="preserve"> </w:t>
      </w:r>
      <w:r w:rsidRPr="000274FE">
        <w:rPr>
          <w:sz w:val="24"/>
          <w:szCs w:val="24"/>
        </w:rPr>
        <w:t>If the qualified person’s opinion</w:t>
      </w:r>
      <w:r w:rsidR="00D60218" w:rsidRPr="000274FE">
        <w:rPr>
          <w:sz w:val="24"/>
          <w:szCs w:val="24"/>
        </w:rPr>
        <w:t xml:space="preserve"> has not been obtained</w:t>
      </w:r>
      <w:r w:rsidRPr="000274FE">
        <w:rPr>
          <w:sz w:val="24"/>
          <w:szCs w:val="24"/>
        </w:rPr>
        <w:t>, then this exemption</w:t>
      </w:r>
      <w:r w:rsidR="00D60218" w:rsidRPr="000274FE">
        <w:rPr>
          <w:sz w:val="24"/>
          <w:szCs w:val="24"/>
        </w:rPr>
        <w:t xml:space="preserve"> cannot be relied on</w:t>
      </w:r>
      <w:r w:rsidRPr="000274FE">
        <w:rPr>
          <w:sz w:val="24"/>
          <w:szCs w:val="24"/>
        </w:rPr>
        <w:t xml:space="preserve">. </w:t>
      </w:r>
      <w:r w:rsidR="00D60218" w:rsidRPr="000274FE">
        <w:rPr>
          <w:sz w:val="24"/>
          <w:szCs w:val="24"/>
        </w:rPr>
        <w:t xml:space="preserve"> </w:t>
      </w:r>
      <w:r w:rsidRPr="000274FE">
        <w:rPr>
          <w:sz w:val="24"/>
          <w:szCs w:val="24"/>
        </w:rPr>
        <w:t>The qualified person’s opinion must also be a “reasonable” opinion, and the Information Commissioner may decide that the section 36 exemption has not been properly applied if she finds that the opinion given isn’t reasonable.</w:t>
      </w:r>
      <w:r w:rsidR="00D60218" w:rsidRPr="000274FE">
        <w:rPr>
          <w:sz w:val="24"/>
          <w:szCs w:val="24"/>
        </w:rPr>
        <w:t xml:space="preserve">  </w:t>
      </w:r>
    </w:p>
    <w:p w14:paraId="3AF519E9" w14:textId="2443A35C" w:rsidR="00142937" w:rsidRPr="000274FE" w:rsidRDefault="00142937" w:rsidP="000864F9">
      <w:pPr>
        <w:rPr>
          <w:sz w:val="24"/>
          <w:szCs w:val="24"/>
        </w:rPr>
      </w:pPr>
      <w:r w:rsidRPr="000274FE">
        <w:rPr>
          <w:sz w:val="24"/>
          <w:szCs w:val="24"/>
        </w:rPr>
        <w:t>In most cases, section 36 is a qualified exemption.</w:t>
      </w:r>
      <w:r w:rsidR="00D60218" w:rsidRPr="000274FE">
        <w:rPr>
          <w:sz w:val="24"/>
          <w:szCs w:val="24"/>
        </w:rPr>
        <w:t xml:space="preserve"> </w:t>
      </w:r>
      <w:r w:rsidRPr="000274FE">
        <w:rPr>
          <w:sz w:val="24"/>
          <w:szCs w:val="24"/>
        </w:rPr>
        <w:t xml:space="preserve"> This means that even if the qualified person considers that disclosure would cause harm, or would be likely to cause harm, you must still </w:t>
      </w:r>
      <w:r w:rsidRPr="000274FE">
        <w:rPr>
          <w:sz w:val="24"/>
          <w:szCs w:val="24"/>
        </w:rPr>
        <w:lastRenderedPageBreak/>
        <w:t>consider the public interest.</w:t>
      </w:r>
      <w:r w:rsidR="00D60218" w:rsidRPr="000274FE">
        <w:rPr>
          <w:sz w:val="24"/>
          <w:szCs w:val="24"/>
        </w:rPr>
        <w:t xml:space="preserve">  </w:t>
      </w:r>
      <w:r w:rsidRPr="000274FE">
        <w:rPr>
          <w:sz w:val="24"/>
          <w:szCs w:val="24"/>
        </w:rPr>
        <w:t xml:space="preserve">More information on </w:t>
      </w:r>
      <w:hyperlink r:id="rId57" w:history="1">
        <w:r w:rsidRPr="000274FE">
          <w:rPr>
            <w:rStyle w:val="Hyperlink"/>
            <w:sz w:val="24"/>
            <w:szCs w:val="24"/>
          </w:rPr>
          <w:t>section 35</w:t>
        </w:r>
      </w:hyperlink>
      <w:r w:rsidRPr="000274FE">
        <w:rPr>
          <w:sz w:val="24"/>
          <w:szCs w:val="24"/>
        </w:rPr>
        <w:t xml:space="preserve">, </w:t>
      </w:r>
      <w:hyperlink r:id="rId58" w:history="1">
        <w:r w:rsidRPr="000274FE">
          <w:rPr>
            <w:rStyle w:val="Hyperlink"/>
            <w:sz w:val="24"/>
            <w:szCs w:val="24"/>
          </w:rPr>
          <w:t>section 36</w:t>
        </w:r>
      </w:hyperlink>
      <w:r w:rsidRPr="000274FE">
        <w:rPr>
          <w:sz w:val="24"/>
          <w:szCs w:val="24"/>
        </w:rPr>
        <w:t xml:space="preserve"> and </w:t>
      </w:r>
      <w:hyperlink r:id="rId59" w:history="1">
        <w:r w:rsidRPr="000274FE">
          <w:rPr>
            <w:rStyle w:val="Hyperlink"/>
            <w:sz w:val="24"/>
            <w:szCs w:val="24"/>
          </w:rPr>
          <w:t>qualified persons</w:t>
        </w:r>
      </w:hyperlink>
      <w:r w:rsidRPr="000274FE">
        <w:rPr>
          <w:sz w:val="24"/>
          <w:szCs w:val="24"/>
        </w:rPr>
        <w:t xml:space="preserve"> can be obtained from the ICO.</w:t>
      </w:r>
    </w:p>
    <w:p w14:paraId="67EFDD3A" w14:textId="77777777" w:rsidR="00142937" w:rsidRPr="000274FE" w:rsidRDefault="00142937" w:rsidP="000864F9">
      <w:pPr>
        <w:pStyle w:val="Section"/>
        <w:rPr>
          <w:sz w:val="24"/>
        </w:rPr>
      </w:pPr>
      <w:r w:rsidRPr="000274FE">
        <w:rPr>
          <w:sz w:val="24"/>
          <w:shd w:val="clear" w:color="auto" w:fill="FFFFFF"/>
        </w:rPr>
        <w:t>SECTION 37 – COMMUNICATIONS WITH THE ROYAL FAMILY AND THE GRANTING OF HONOURS</w:t>
      </w:r>
    </w:p>
    <w:p w14:paraId="7806F540" w14:textId="30A9E227" w:rsidR="00142937" w:rsidRPr="000274FE" w:rsidRDefault="00142937" w:rsidP="000864F9">
      <w:pPr>
        <w:rPr>
          <w:sz w:val="24"/>
          <w:szCs w:val="24"/>
        </w:rPr>
      </w:pPr>
      <w:r w:rsidRPr="000274FE">
        <w:rPr>
          <w:sz w:val="24"/>
          <w:szCs w:val="24"/>
        </w:rPr>
        <w:t xml:space="preserve">This exemption covers any information relating to communications with the royal family and information on granting honours. </w:t>
      </w:r>
      <w:r w:rsidR="00D60218" w:rsidRPr="000274FE">
        <w:rPr>
          <w:sz w:val="24"/>
          <w:szCs w:val="24"/>
        </w:rPr>
        <w:t xml:space="preserve"> </w:t>
      </w:r>
      <w:r w:rsidRPr="000274FE">
        <w:rPr>
          <w:sz w:val="24"/>
          <w:szCs w:val="24"/>
        </w:rPr>
        <w:t>This exemption is absolute in relation to communications with the monarch, the heir to the throne, and the second in line of succession to the throne, so the public interest test does not need to be applied in these cases.</w:t>
      </w:r>
    </w:p>
    <w:p w14:paraId="0F0675B4" w14:textId="0055CC29" w:rsidR="00142937" w:rsidRPr="000274FE" w:rsidRDefault="00142937" w:rsidP="000864F9">
      <w:pPr>
        <w:rPr>
          <w:sz w:val="24"/>
          <w:szCs w:val="24"/>
        </w:rPr>
      </w:pPr>
      <w:r w:rsidRPr="000274FE">
        <w:rPr>
          <w:sz w:val="24"/>
          <w:szCs w:val="24"/>
        </w:rPr>
        <w:t xml:space="preserve">All other information under the scope of this exemption is qualified, so the public interest test must be applied. </w:t>
      </w:r>
      <w:r w:rsidR="00D60218" w:rsidRPr="000274FE">
        <w:rPr>
          <w:sz w:val="24"/>
          <w:szCs w:val="24"/>
        </w:rPr>
        <w:t xml:space="preserve"> </w:t>
      </w:r>
      <w:r w:rsidRPr="000274FE">
        <w:rPr>
          <w:sz w:val="24"/>
          <w:szCs w:val="24"/>
        </w:rPr>
        <w:t xml:space="preserve">More information about section 37 can be obtained from the </w:t>
      </w:r>
      <w:hyperlink r:id="rId60" w:history="1">
        <w:r w:rsidRPr="000274FE">
          <w:rPr>
            <w:rStyle w:val="Hyperlink"/>
            <w:sz w:val="24"/>
            <w:szCs w:val="24"/>
          </w:rPr>
          <w:t>ICO</w:t>
        </w:r>
      </w:hyperlink>
      <w:r w:rsidRPr="000274FE">
        <w:rPr>
          <w:sz w:val="24"/>
          <w:szCs w:val="24"/>
        </w:rPr>
        <w:t xml:space="preserve">. </w:t>
      </w:r>
    </w:p>
    <w:sectPr w:rsidR="00142937" w:rsidRPr="000274FE" w:rsidSect="00D8706A">
      <w:pgSz w:w="11906" w:h="16838"/>
      <w:pgMar w:top="1843"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8ADDE" w14:textId="77777777" w:rsidR="007B730E" w:rsidRDefault="007B730E" w:rsidP="00356E30">
      <w:pPr>
        <w:spacing w:after="0" w:line="240" w:lineRule="auto"/>
      </w:pPr>
      <w:r>
        <w:separator/>
      </w:r>
    </w:p>
  </w:endnote>
  <w:endnote w:type="continuationSeparator" w:id="0">
    <w:p w14:paraId="24581546" w14:textId="77777777" w:rsidR="007B730E" w:rsidRDefault="007B730E" w:rsidP="00356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EC51F" w14:textId="0608DF34" w:rsidR="00444BC6" w:rsidRDefault="00680E5B" w:rsidP="00273668">
    <w:pPr>
      <w:pStyle w:val="Footer"/>
      <w:tabs>
        <w:tab w:val="clear" w:pos="4513"/>
        <w:tab w:val="left" w:pos="5812"/>
        <w:tab w:val="right" w:pos="9072"/>
      </w:tabs>
    </w:pPr>
    <w:sdt>
      <w:sdtPr>
        <w:id w:val="920997270"/>
        <w:docPartObj>
          <w:docPartGallery w:val="Page Numbers (Bottom of Page)"/>
          <w:docPartUnique/>
        </w:docPartObj>
      </w:sdtPr>
      <w:sdtEndPr>
        <w:rPr>
          <w:noProof/>
        </w:rPr>
      </w:sdtEndPr>
      <w:sdtContent>
        <w:r w:rsidR="00444BC6">
          <w:t xml:space="preserve">Page | </w:t>
        </w:r>
        <w:r w:rsidR="00444BC6">
          <w:fldChar w:fldCharType="begin"/>
        </w:r>
        <w:r w:rsidR="00444BC6">
          <w:instrText xml:space="preserve"> PAGE   \* MERGEFORMAT </w:instrText>
        </w:r>
        <w:r w:rsidR="00444BC6">
          <w:fldChar w:fldCharType="separate"/>
        </w:r>
        <w:r w:rsidR="00444BC6">
          <w:rPr>
            <w:noProof/>
          </w:rPr>
          <w:t>2</w:t>
        </w:r>
        <w:r w:rsidR="00444BC6">
          <w:rPr>
            <w:noProof/>
          </w:rPr>
          <w:fldChar w:fldCharType="end"/>
        </w:r>
      </w:sdtContent>
    </w:sdt>
    <w:r w:rsidR="00444BC6">
      <w:rPr>
        <w:noProof/>
      </w:rPr>
      <w:tab/>
    </w:r>
    <w:r w:rsidR="00444BC6">
      <w:rPr>
        <w:noProof/>
      </w:rPr>
      <w:tab/>
      <w:t>Version 1.</w:t>
    </w:r>
    <w:r w:rsidR="00F0754D">
      <w:rPr>
        <w:noProof/>
      </w:rPr>
      <w:t>4</w:t>
    </w:r>
  </w:p>
  <w:p w14:paraId="4F1AF146" w14:textId="6AC256FC" w:rsidR="00444BC6" w:rsidRDefault="00444BC6" w:rsidP="00273668">
    <w:pPr>
      <w:pStyle w:val="Footer"/>
      <w:tabs>
        <w:tab w:val="clear" w:pos="4513"/>
        <w:tab w:val="left" w:pos="5812"/>
        <w:tab w:val="right" w:pos="9072"/>
      </w:tabs>
    </w:pPr>
    <w:r>
      <w:tab/>
    </w:r>
    <w:r>
      <w:tab/>
    </w:r>
    <w:r w:rsidR="00680E5B">
      <w:t>Reviewed 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DDBE4" w14:textId="77777777" w:rsidR="007B730E" w:rsidRDefault="007B730E" w:rsidP="00356E30">
      <w:pPr>
        <w:spacing w:after="0" w:line="240" w:lineRule="auto"/>
      </w:pPr>
      <w:r>
        <w:separator/>
      </w:r>
    </w:p>
  </w:footnote>
  <w:footnote w:type="continuationSeparator" w:id="0">
    <w:p w14:paraId="68160988" w14:textId="77777777" w:rsidR="007B730E" w:rsidRDefault="007B730E" w:rsidP="00356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D151" w14:textId="5552FA67" w:rsidR="00444BC6" w:rsidRDefault="00743FD9">
    <w:pPr>
      <w:pStyle w:val="Header"/>
    </w:pPr>
    <w:r>
      <w:rPr>
        <w:noProof/>
      </w:rPr>
      <w:drawing>
        <wp:anchor distT="0" distB="0" distL="114300" distR="114300" simplePos="0" relativeHeight="251665408" behindDoc="1" locked="0" layoutInCell="1" allowOverlap="1" wp14:anchorId="189401E3" wp14:editId="59DD9478">
          <wp:simplePos x="0" y="0"/>
          <wp:positionH relativeFrom="margin">
            <wp:posOffset>5177790</wp:posOffset>
          </wp:positionH>
          <wp:positionV relativeFrom="paragraph">
            <wp:posOffset>-154940</wp:posOffset>
          </wp:positionV>
          <wp:extent cx="923925" cy="666750"/>
          <wp:effectExtent l="0" t="0" r="9525" b="0"/>
          <wp:wrapTight wrapText="bothSides">
            <wp:wrapPolygon edited="0">
              <wp:start x="0" y="0"/>
              <wp:lineTo x="0" y="20983"/>
              <wp:lineTo x="20041" y="20983"/>
              <wp:lineTo x="19151" y="19749"/>
              <wp:lineTo x="21377" y="12343"/>
              <wp:lineTo x="21377"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4BC6">
      <w:rPr>
        <w:noProof/>
      </w:rPr>
      <w:drawing>
        <wp:anchor distT="0" distB="0" distL="114300" distR="114300" simplePos="0" relativeHeight="251659264" behindDoc="1" locked="0" layoutInCell="1" allowOverlap="1" wp14:anchorId="4C16926A" wp14:editId="3475ADE8">
          <wp:simplePos x="0" y="0"/>
          <wp:positionH relativeFrom="margin">
            <wp:posOffset>-419100</wp:posOffset>
          </wp:positionH>
          <wp:positionV relativeFrom="paragraph">
            <wp:posOffset>-238760</wp:posOffset>
          </wp:positionV>
          <wp:extent cx="1645920" cy="700405"/>
          <wp:effectExtent l="0" t="0" r="11430" b="4445"/>
          <wp:wrapTight wrapText="bothSides">
            <wp:wrapPolygon edited="0">
              <wp:start x="0" y="0"/>
              <wp:lineTo x="0" y="21150"/>
              <wp:lineTo x="21500" y="21150"/>
              <wp:lineTo x="21500" y="0"/>
              <wp:lineTo x="0" y="0"/>
            </wp:wrapPolygon>
          </wp:wrapTight>
          <wp:docPr id="34" name="Picture 34" descr="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45920"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00444BC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35C8" w14:textId="053E1E63" w:rsidR="00E95D4A" w:rsidRDefault="007F20CC">
    <w:pPr>
      <w:pStyle w:val="Header"/>
    </w:pPr>
    <w:r>
      <w:rPr>
        <w:noProof/>
      </w:rPr>
      <w:drawing>
        <wp:anchor distT="0" distB="0" distL="114300" distR="114300" simplePos="0" relativeHeight="251663360" behindDoc="1" locked="0" layoutInCell="1" allowOverlap="1" wp14:anchorId="15B3E8B8" wp14:editId="72FA5AE9">
          <wp:simplePos x="0" y="0"/>
          <wp:positionH relativeFrom="margin">
            <wp:posOffset>4912360</wp:posOffset>
          </wp:positionH>
          <wp:positionV relativeFrom="paragraph">
            <wp:posOffset>-168275</wp:posOffset>
          </wp:positionV>
          <wp:extent cx="923925" cy="666750"/>
          <wp:effectExtent l="0" t="0" r="9525" b="0"/>
          <wp:wrapTight wrapText="bothSides">
            <wp:wrapPolygon edited="0">
              <wp:start x="0" y="0"/>
              <wp:lineTo x="0" y="20983"/>
              <wp:lineTo x="20041" y="20983"/>
              <wp:lineTo x="19151" y="19749"/>
              <wp:lineTo x="21377" y="12343"/>
              <wp:lineTo x="213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A62C40">
      <w:rPr>
        <w:noProof/>
      </w:rPr>
      <w:drawing>
        <wp:anchor distT="0" distB="0" distL="114300" distR="114300" simplePos="0" relativeHeight="251662336" behindDoc="1" locked="0" layoutInCell="1" allowOverlap="1" wp14:anchorId="350A1EDD" wp14:editId="041F31E3">
          <wp:simplePos x="0" y="0"/>
          <wp:positionH relativeFrom="margin">
            <wp:align>left</wp:align>
          </wp:positionH>
          <wp:positionV relativeFrom="paragraph">
            <wp:posOffset>-196215</wp:posOffset>
          </wp:positionV>
          <wp:extent cx="1645920" cy="700405"/>
          <wp:effectExtent l="0" t="0" r="0" b="4445"/>
          <wp:wrapTight wrapText="bothSides">
            <wp:wrapPolygon edited="0">
              <wp:start x="0" y="0"/>
              <wp:lineTo x="0" y="21150"/>
              <wp:lineTo x="21250" y="21150"/>
              <wp:lineTo x="21250" y="0"/>
              <wp:lineTo x="0" y="0"/>
            </wp:wrapPolygon>
          </wp:wrapTight>
          <wp:docPr id="36" name="Picture 36" descr="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45920" cy="700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DE6AA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DB61F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DE20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4262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BC73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FC46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0A1F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B6E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5846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C058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4D9261C6"/>
    <w:lvl w:ilvl="0">
      <w:start w:val="1"/>
      <w:numFmt w:val="decimal"/>
      <w:pStyle w:val="Heading1"/>
      <w:lvlText w:val="%1."/>
      <w:lvlJc w:val="left"/>
      <w:pPr>
        <w:tabs>
          <w:tab w:val="num" w:pos="0"/>
        </w:tabs>
        <w:ind w:left="720" w:hanging="720"/>
      </w:pPr>
      <w:rPr>
        <w:rFonts w:asciiTheme="minorHAnsi" w:hAnsiTheme="minorHAnsi" w:hint="default"/>
        <w:b/>
        <w:bCs/>
        <w:color w:val="4472C4" w:themeColor="accent1"/>
      </w:rPr>
    </w:lvl>
    <w:lvl w:ilvl="1">
      <w:start w:val="1"/>
      <w:numFmt w:val="decimal"/>
      <w:pStyle w:val="Heading2"/>
      <w:lvlText w:val="%1.%2"/>
      <w:lvlJc w:val="left"/>
      <w:pPr>
        <w:tabs>
          <w:tab w:val="num" w:pos="-284"/>
        </w:tabs>
        <w:ind w:left="436" w:hanging="720"/>
      </w:pPr>
      <w:rPr>
        <w:rFonts w:ascii="Calibri" w:hAnsi="Calibri" w:cs="Calibri" w:hint="default"/>
        <w:color w:val="auto"/>
      </w:rPr>
    </w:lvl>
    <w:lvl w:ilvl="2">
      <w:start w:val="1"/>
      <w:numFmt w:val="lowerLetter"/>
      <w:pStyle w:val="Heading3"/>
      <w:lvlText w:val="%3)"/>
      <w:lvlJc w:val="left"/>
      <w:pPr>
        <w:tabs>
          <w:tab w:val="num" w:pos="-426"/>
        </w:tabs>
        <w:ind w:left="1014" w:hanging="720"/>
      </w:pPr>
      <w:rPr>
        <w:rFonts w:ascii="Calibri" w:eastAsia="Times New Roman" w:hAnsi="Calibri" w:cs="Calibri"/>
      </w:rPr>
    </w:lvl>
    <w:lvl w:ilvl="3">
      <w:start w:val="1"/>
      <w:numFmt w:val="none"/>
      <w:pStyle w:val="Heading4"/>
      <w:lvlText w:val=""/>
      <w:lvlJc w:val="left"/>
      <w:pPr>
        <w:tabs>
          <w:tab w:val="num" w:pos="1740"/>
        </w:tabs>
        <w:ind w:left="1740" w:hanging="726"/>
      </w:pPr>
      <w:rPr>
        <w:rFonts w:ascii="Symbol" w:hAnsi="Symbol" w:hint="default"/>
      </w:rPr>
    </w:lvl>
    <w:lvl w:ilvl="4">
      <w:start w:val="1"/>
      <w:numFmt w:val="none"/>
      <w:pStyle w:val="Heading5"/>
      <w:lvlText w:val=""/>
      <w:lvlJc w:val="left"/>
      <w:pPr>
        <w:tabs>
          <w:tab w:val="num" w:pos="-426"/>
        </w:tabs>
        <w:ind w:left="2454" w:hanging="720"/>
      </w:pPr>
      <w:rPr>
        <w:rFonts w:ascii="Symbol" w:hAnsi="Symbol" w:hint="default"/>
      </w:rPr>
    </w:lvl>
    <w:lvl w:ilvl="5">
      <w:start w:val="1"/>
      <w:numFmt w:val="none"/>
      <w:pStyle w:val="Heading6"/>
      <w:lvlText w:val=""/>
      <w:lvlJc w:val="left"/>
      <w:pPr>
        <w:tabs>
          <w:tab w:val="num" w:pos="-426"/>
        </w:tabs>
        <w:ind w:left="3894" w:hanging="720"/>
      </w:pPr>
      <w:rPr>
        <w:rFonts w:ascii="Symbol" w:hAnsi="Symbol" w:hint="default"/>
      </w:rPr>
    </w:lvl>
    <w:lvl w:ilvl="6">
      <w:start w:val="1"/>
      <w:numFmt w:val="lowerRoman"/>
      <w:pStyle w:val="Heading7"/>
      <w:lvlText w:val="%7)"/>
      <w:lvlJc w:val="left"/>
      <w:pPr>
        <w:tabs>
          <w:tab w:val="num" w:pos="-426"/>
        </w:tabs>
        <w:ind w:left="4614" w:hanging="720"/>
      </w:pPr>
    </w:lvl>
    <w:lvl w:ilvl="7">
      <w:start w:val="1"/>
      <w:numFmt w:val="none"/>
      <w:pStyle w:val="Heading8"/>
      <w:suff w:val="nothing"/>
      <w:lvlText w:val=""/>
      <w:lvlJc w:val="left"/>
      <w:pPr>
        <w:ind w:left="5334" w:hanging="720"/>
      </w:pPr>
    </w:lvl>
    <w:lvl w:ilvl="8">
      <w:start w:val="1"/>
      <w:numFmt w:val="decimal"/>
      <w:pStyle w:val="Heading9"/>
      <w:lvlText w:val="%9."/>
      <w:lvlJc w:val="left"/>
      <w:pPr>
        <w:tabs>
          <w:tab w:val="num" w:pos="-426"/>
        </w:tabs>
        <w:ind w:left="6054" w:hanging="720"/>
      </w:pPr>
    </w:lvl>
  </w:abstractNum>
  <w:abstractNum w:abstractNumId="11" w15:restartNumberingAfterBreak="0">
    <w:nsid w:val="104B43ED"/>
    <w:multiLevelType w:val="hybridMultilevel"/>
    <w:tmpl w:val="2F10FD3C"/>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2" w15:restartNumberingAfterBreak="0">
    <w:nsid w:val="121B59F7"/>
    <w:multiLevelType w:val="hybridMultilevel"/>
    <w:tmpl w:val="41DC1296"/>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3" w15:restartNumberingAfterBreak="0">
    <w:nsid w:val="20830B9E"/>
    <w:multiLevelType w:val="hybridMultilevel"/>
    <w:tmpl w:val="ACF4BEC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227C2091"/>
    <w:multiLevelType w:val="hybridMultilevel"/>
    <w:tmpl w:val="38044B4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5" w15:restartNumberingAfterBreak="0">
    <w:nsid w:val="23CE41B5"/>
    <w:multiLevelType w:val="hybridMultilevel"/>
    <w:tmpl w:val="F3744E8A"/>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6" w15:restartNumberingAfterBreak="0">
    <w:nsid w:val="253A674B"/>
    <w:multiLevelType w:val="hybridMultilevel"/>
    <w:tmpl w:val="E07C9DDA"/>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7" w15:restartNumberingAfterBreak="0">
    <w:nsid w:val="2B9F3B8C"/>
    <w:multiLevelType w:val="hybridMultilevel"/>
    <w:tmpl w:val="43A80F2E"/>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8" w15:restartNumberingAfterBreak="0">
    <w:nsid w:val="2E105596"/>
    <w:multiLevelType w:val="hybridMultilevel"/>
    <w:tmpl w:val="50066A58"/>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9" w15:restartNumberingAfterBreak="0">
    <w:nsid w:val="30003E02"/>
    <w:multiLevelType w:val="multilevel"/>
    <w:tmpl w:val="4C78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7F0C87"/>
    <w:multiLevelType w:val="hybridMultilevel"/>
    <w:tmpl w:val="70EA558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1" w15:restartNumberingAfterBreak="0">
    <w:nsid w:val="36494BDF"/>
    <w:multiLevelType w:val="hybridMultilevel"/>
    <w:tmpl w:val="BC72D246"/>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2" w15:restartNumberingAfterBreak="0">
    <w:nsid w:val="398852F0"/>
    <w:multiLevelType w:val="hybridMultilevel"/>
    <w:tmpl w:val="35008E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A5B7449"/>
    <w:multiLevelType w:val="hybridMultilevel"/>
    <w:tmpl w:val="A7B090AE"/>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4" w15:restartNumberingAfterBreak="0">
    <w:nsid w:val="3B950F6C"/>
    <w:multiLevelType w:val="hybridMultilevel"/>
    <w:tmpl w:val="9BFEF280"/>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5" w15:restartNumberingAfterBreak="0">
    <w:nsid w:val="3CC81720"/>
    <w:multiLevelType w:val="multilevel"/>
    <w:tmpl w:val="D29A117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422130FF"/>
    <w:multiLevelType w:val="hybridMultilevel"/>
    <w:tmpl w:val="C122A96C"/>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7" w15:restartNumberingAfterBreak="0">
    <w:nsid w:val="48AB1D6F"/>
    <w:multiLevelType w:val="multilevel"/>
    <w:tmpl w:val="C678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F63DDD"/>
    <w:multiLevelType w:val="hybridMultilevel"/>
    <w:tmpl w:val="CA8602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AB2C13"/>
    <w:multiLevelType w:val="hybridMultilevel"/>
    <w:tmpl w:val="1F2E978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30" w15:restartNumberingAfterBreak="0">
    <w:nsid w:val="5B8B2499"/>
    <w:multiLevelType w:val="hybridMultilevel"/>
    <w:tmpl w:val="51267D94"/>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31" w15:restartNumberingAfterBreak="0">
    <w:nsid w:val="5E942750"/>
    <w:multiLevelType w:val="multilevel"/>
    <w:tmpl w:val="60A27B82"/>
    <w:lvl w:ilvl="0">
      <w:start w:val="6"/>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2" w15:restartNumberingAfterBreak="0">
    <w:nsid w:val="60EB6C40"/>
    <w:multiLevelType w:val="hybridMultilevel"/>
    <w:tmpl w:val="676E41E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3" w15:restartNumberingAfterBreak="0">
    <w:nsid w:val="61CE570B"/>
    <w:multiLevelType w:val="hybridMultilevel"/>
    <w:tmpl w:val="81283F1C"/>
    <w:lvl w:ilvl="0" w:tplc="F37CA5C0">
      <w:start w:val="1"/>
      <w:numFmt w:val="decimal"/>
      <w:lvlText w:val="%1."/>
      <w:lvlJc w:val="left"/>
      <w:pPr>
        <w:ind w:left="720" w:hanging="360"/>
      </w:pPr>
      <w:rPr>
        <w:rFonts w:hint="default"/>
        <w:b/>
        <w:bCs/>
        <w:color w:val="4472C4" w:themeColor="accen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9C009E"/>
    <w:multiLevelType w:val="hybridMultilevel"/>
    <w:tmpl w:val="A6965254"/>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35" w15:restartNumberingAfterBreak="0">
    <w:nsid w:val="6A952665"/>
    <w:multiLevelType w:val="hybridMultilevel"/>
    <w:tmpl w:val="79202B0E"/>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36" w15:restartNumberingAfterBreak="0">
    <w:nsid w:val="6AEB1202"/>
    <w:multiLevelType w:val="hybridMultilevel"/>
    <w:tmpl w:val="F2287456"/>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37" w15:restartNumberingAfterBreak="0">
    <w:nsid w:val="6B933232"/>
    <w:multiLevelType w:val="hybridMultilevel"/>
    <w:tmpl w:val="BD341644"/>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38" w15:restartNumberingAfterBreak="0">
    <w:nsid w:val="71063D7F"/>
    <w:multiLevelType w:val="hybridMultilevel"/>
    <w:tmpl w:val="E22074C6"/>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39" w15:restartNumberingAfterBreak="0">
    <w:nsid w:val="73E26970"/>
    <w:multiLevelType w:val="hybridMultilevel"/>
    <w:tmpl w:val="6AB402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4AB0952"/>
    <w:multiLevelType w:val="hybridMultilevel"/>
    <w:tmpl w:val="7D4EA0E8"/>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num w:numId="1" w16cid:durableId="130440415">
    <w:abstractNumId w:val="33"/>
  </w:num>
  <w:num w:numId="2" w16cid:durableId="1031686471">
    <w:abstractNumId w:val="10"/>
  </w:num>
  <w:num w:numId="3" w16cid:durableId="677926184">
    <w:abstractNumId w:val="24"/>
  </w:num>
  <w:num w:numId="4" w16cid:durableId="1725982141">
    <w:abstractNumId w:val="25"/>
  </w:num>
  <w:num w:numId="5" w16cid:durableId="1678650147">
    <w:abstractNumId w:val="30"/>
  </w:num>
  <w:num w:numId="6" w16cid:durableId="1371799690">
    <w:abstractNumId w:val="28"/>
  </w:num>
  <w:num w:numId="7" w16cid:durableId="620575477">
    <w:abstractNumId w:val="31"/>
  </w:num>
  <w:num w:numId="8" w16cid:durableId="906232997">
    <w:abstractNumId w:val="40"/>
  </w:num>
  <w:num w:numId="9" w16cid:durableId="1851330958">
    <w:abstractNumId w:val="26"/>
  </w:num>
  <w:num w:numId="10" w16cid:durableId="1562793477">
    <w:abstractNumId w:val="27"/>
  </w:num>
  <w:num w:numId="11" w16cid:durableId="1691179521">
    <w:abstractNumId w:val="19"/>
  </w:num>
  <w:num w:numId="12" w16cid:durableId="1571035295">
    <w:abstractNumId w:val="23"/>
  </w:num>
  <w:num w:numId="13" w16cid:durableId="87115284">
    <w:abstractNumId w:val="22"/>
  </w:num>
  <w:num w:numId="14" w16cid:durableId="1585217282">
    <w:abstractNumId w:val="13"/>
  </w:num>
  <w:num w:numId="15" w16cid:durableId="1730878814">
    <w:abstractNumId w:val="32"/>
  </w:num>
  <w:num w:numId="16" w16cid:durableId="245576279">
    <w:abstractNumId w:val="38"/>
  </w:num>
  <w:num w:numId="17" w16cid:durableId="1368410492">
    <w:abstractNumId w:val="34"/>
  </w:num>
  <w:num w:numId="18" w16cid:durableId="259338284">
    <w:abstractNumId w:val="15"/>
  </w:num>
  <w:num w:numId="19" w16cid:durableId="1830517401">
    <w:abstractNumId w:val="29"/>
  </w:num>
  <w:num w:numId="20" w16cid:durableId="1019157104">
    <w:abstractNumId w:val="37"/>
  </w:num>
  <w:num w:numId="21" w16cid:durableId="483591758">
    <w:abstractNumId w:val="17"/>
  </w:num>
  <w:num w:numId="22" w16cid:durableId="835726962">
    <w:abstractNumId w:val="11"/>
  </w:num>
  <w:num w:numId="23" w16cid:durableId="1697272945">
    <w:abstractNumId w:val="12"/>
  </w:num>
  <w:num w:numId="24" w16cid:durableId="329330756">
    <w:abstractNumId w:val="14"/>
  </w:num>
  <w:num w:numId="25" w16cid:durableId="842859628">
    <w:abstractNumId w:val="36"/>
  </w:num>
  <w:num w:numId="26" w16cid:durableId="614142436">
    <w:abstractNumId w:val="20"/>
  </w:num>
  <w:num w:numId="27" w16cid:durableId="1324242323">
    <w:abstractNumId w:val="16"/>
  </w:num>
  <w:num w:numId="28" w16cid:durableId="2129733177">
    <w:abstractNumId w:val="18"/>
  </w:num>
  <w:num w:numId="29" w16cid:durableId="2081560082">
    <w:abstractNumId w:val="35"/>
  </w:num>
  <w:num w:numId="30" w16cid:durableId="1638340470">
    <w:abstractNumId w:val="21"/>
  </w:num>
  <w:num w:numId="31" w16cid:durableId="519927043">
    <w:abstractNumId w:val="39"/>
  </w:num>
  <w:num w:numId="32" w16cid:durableId="1439833771">
    <w:abstractNumId w:val="9"/>
  </w:num>
  <w:num w:numId="33" w16cid:durableId="1439644915">
    <w:abstractNumId w:val="7"/>
  </w:num>
  <w:num w:numId="34" w16cid:durableId="448282224">
    <w:abstractNumId w:val="6"/>
  </w:num>
  <w:num w:numId="35" w16cid:durableId="312367788">
    <w:abstractNumId w:val="5"/>
  </w:num>
  <w:num w:numId="36" w16cid:durableId="917134691">
    <w:abstractNumId w:val="4"/>
  </w:num>
  <w:num w:numId="37" w16cid:durableId="315647206">
    <w:abstractNumId w:val="8"/>
  </w:num>
  <w:num w:numId="38" w16cid:durableId="819351890">
    <w:abstractNumId w:val="3"/>
  </w:num>
  <w:num w:numId="39" w16cid:durableId="75786630">
    <w:abstractNumId w:val="2"/>
  </w:num>
  <w:num w:numId="40" w16cid:durableId="2072389549">
    <w:abstractNumId w:val="1"/>
  </w:num>
  <w:num w:numId="41" w16cid:durableId="1554848481">
    <w:abstractNumId w:val="0"/>
  </w:num>
  <w:num w:numId="42" w16cid:durableId="2007706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30"/>
    <w:rsid w:val="00001C99"/>
    <w:rsid w:val="000274FE"/>
    <w:rsid w:val="000864F9"/>
    <w:rsid w:val="00115ECA"/>
    <w:rsid w:val="0013501C"/>
    <w:rsid w:val="00142937"/>
    <w:rsid w:val="0014350C"/>
    <w:rsid w:val="001B5005"/>
    <w:rsid w:val="001C3383"/>
    <w:rsid w:val="002074D4"/>
    <w:rsid w:val="0021272E"/>
    <w:rsid w:val="002408E0"/>
    <w:rsid w:val="002467B6"/>
    <w:rsid w:val="00252E9F"/>
    <w:rsid w:val="00273668"/>
    <w:rsid w:val="00285D51"/>
    <w:rsid w:val="002E328D"/>
    <w:rsid w:val="002E5CC3"/>
    <w:rsid w:val="002F4FFA"/>
    <w:rsid w:val="00356E30"/>
    <w:rsid w:val="003A2824"/>
    <w:rsid w:val="0042505E"/>
    <w:rsid w:val="00444BC6"/>
    <w:rsid w:val="00506F43"/>
    <w:rsid w:val="00514CF5"/>
    <w:rsid w:val="0052348D"/>
    <w:rsid w:val="00524053"/>
    <w:rsid w:val="00532D4A"/>
    <w:rsid w:val="005345EF"/>
    <w:rsid w:val="0054065B"/>
    <w:rsid w:val="005422D2"/>
    <w:rsid w:val="00544339"/>
    <w:rsid w:val="005905AB"/>
    <w:rsid w:val="005C44D7"/>
    <w:rsid w:val="005E6F12"/>
    <w:rsid w:val="00674AA4"/>
    <w:rsid w:val="00680E5B"/>
    <w:rsid w:val="006F1945"/>
    <w:rsid w:val="00712CEC"/>
    <w:rsid w:val="00731CC5"/>
    <w:rsid w:val="00743FD9"/>
    <w:rsid w:val="007675EC"/>
    <w:rsid w:val="007A4E91"/>
    <w:rsid w:val="007B5E30"/>
    <w:rsid w:val="007B730E"/>
    <w:rsid w:val="007C21EF"/>
    <w:rsid w:val="007F20CC"/>
    <w:rsid w:val="00846B22"/>
    <w:rsid w:val="00871C16"/>
    <w:rsid w:val="008B0E44"/>
    <w:rsid w:val="0097248F"/>
    <w:rsid w:val="009753DD"/>
    <w:rsid w:val="009A68CF"/>
    <w:rsid w:val="009C7391"/>
    <w:rsid w:val="009E5B19"/>
    <w:rsid w:val="009F065D"/>
    <w:rsid w:val="00A52772"/>
    <w:rsid w:val="00A62C40"/>
    <w:rsid w:val="00AA4EAC"/>
    <w:rsid w:val="00B416C8"/>
    <w:rsid w:val="00B65F82"/>
    <w:rsid w:val="00BE7ADC"/>
    <w:rsid w:val="00C03707"/>
    <w:rsid w:val="00C325A2"/>
    <w:rsid w:val="00C367C2"/>
    <w:rsid w:val="00C60F70"/>
    <w:rsid w:val="00C67A3B"/>
    <w:rsid w:val="00C741B1"/>
    <w:rsid w:val="00CD4556"/>
    <w:rsid w:val="00D1548E"/>
    <w:rsid w:val="00D55716"/>
    <w:rsid w:val="00D60218"/>
    <w:rsid w:val="00D734DB"/>
    <w:rsid w:val="00D74563"/>
    <w:rsid w:val="00D8706A"/>
    <w:rsid w:val="00D97935"/>
    <w:rsid w:val="00DB3742"/>
    <w:rsid w:val="00E61D52"/>
    <w:rsid w:val="00E717CA"/>
    <w:rsid w:val="00E95D4A"/>
    <w:rsid w:val="00EA069E"/>
    <w:rsid w:val="00EE3916"/>
    <w:rsid w:val="00F0754D"/>
    <w:rsid w:val="00F41D12"/>
    <w:rsid w:val="00F430D5"/>
    <w:rsid w:val="00F96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34AA2"/>
  <w15:chartTrackingRefBased/>
  <w15:docId w15:val="{D682D427-B7AD-483E-B723-B1B11E80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668"/>
  </w:style>
  <w:style w:type="paragraph" w:styleId="Heading1">
    <w:name w:val="heading 1"/>
    <w:basedOn w:val="Normal"/>
    <w:link w:val="Heading1Char"/>
    <w:qFormat/>
    <w:rsid w:val="00273668"/>
    <w:pPr>
      <w:numPr>
        <w:numId w:val="2"/>
      </w:numPr>
      <w:tabs>
        <w:tab w:val="num" w:pos="709"/>
      </w:tabs>
      <w:spacing w:after="240" w:line="240" w:lineRule="auto"/>
      <w:outlineLvl w:val="0"/>
    </w:pPr>
    <w:rPr>
      <w:rFonts w:eastAsia="Times New Roman" w:cstheme="minorHAnsi"/>
      <w:b/>
      <w:caps/>
      <w:color w:val="4472C4" w:themeColor="accent1"/>
      <w:kern w:val="28"/>
      <w:sz w:val="24"/>
      <w:szCs w:val="24"/>
    </w:rPr>
  </w:style>
  <w:style w:type="paragraph" w:styleId="Heading2">
    <w:name w:val="heading 2"/>
    <w:aliases w:val="Heading 2a,Char Char Char"/>
    <w:basedOn w:val="Normal"/>
    <w:link w:val="Heading2Char"/>
    <w:qFormat/>
    <w:rsid w:val="005422D2"/>
    <w:pPr>
      <w:numPr>
        <w:ilvl w:val="1"/>
        <w:numId w:val="2"/>
      </w:numPr>
      <w:spacing w:after="240" w:line="240" w:lineRule="auto"/>
      <w:ind w:left="720"/>
      <w:outlineLvl w:val="1"/>
    </w:pPr>
    <w:rPr>
      <w:rFonts w:eastAsia="Times New Roman" w:cs="Times New Roman"/>
      <w:szCs w:val="20"/>
    </w:rPr>
  </w:style>
  <w:style w:type="paragraph" w:styleId="Heading3">
    <w:name w:val="heading 3"/>
    <w:basedOn w:val="Normal"/>
    <w:link w:val="Heading3Char"/>
    <w:qFormat/>
    <w:rsid w:val="00356E30"/>
    <w:pPr>
      <w:keepLines/>
      <w:numPr>
        <w:ilvl w:val="2"/>
        <w:numId w:val="2"/>
      </w:numPr>
      <w:spacing w:after="240" w:line="240" w:lineRule="auto"/>
      <w:jc w:val="both"/>
      <w:outlineLvl w:val="2"/>
    </w:pPr>
    <w:rPr>
      <w:rFonts w:ascii="Times New Roman" w:eastAsia="Times New Roman" w:hAnsi="Times New Roman" w:cs="Times New Roman"/>
      <w:sz w:val="24"/>
      <w:szCs w:val="20"/>
    </w:rPr>
  </w:style>
  <w:style w:type="paragraph" w:styleId="Heading4">
    <w:name w:val="heading 4"/>
    <w:basedOn w:val="Normal"/>
    <w:link w:val="Heading4Char"/>
    <w:qFormat/>
    <w:rsid w:val="00356E30"/>
    <w:pPr>
      <w:numPr>
        <w:ilvl w:val="3"/>
        <w:numId w:val="2"/>
      </w:numPr>
      <w:spacing w:after="240" w:line="240" w:lineRule="auto"/>
      <w:jc w:val="both"/>
      <w:outlineLvl w:val="3"/>
    </w:pPr>
    <w:rPr>
      <w:rFonts w:ascii="Times New Roman" w:eastAsia="Times New Roman" w:hAnsi="Times New Roman" w:cs="Times New Roman"/>
      <w:sz w:val="24"/>
      <w:szCs w:val="20"/>
    </w:rPr>
  </w:style>
  <w:style w:type="paragraph" w:styleId="Heading5">
    <w:name w:val="heading 5"/>
    <w:basedOn w:val="Normal"/>
    <w:link w:val="Heading5Char"/>
    <w:qFormat/>
    <w:rsid w:val="00356E30"/>
    <w:pPr>
      <w:numPr>
        <w:ilvl w:val="4"/>
        <w:numId w:val="2"/>
      </w:numPr>
      <w:spacing w:after="240" w:line="240" w:lineRule="auto"/>
      <w:jc w:val="both"/>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356E30"/>
    <w:pPr>
      <w:numPr>
        <w:ilvl w:val="5"/>
        <w:numId w:val="2"/>
      </w:numPr>
      <w:spacing w:before="240" w:after="60" w:line="240" w:lineRule="auto"/>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356E30"/>
    <w:pPr>
      <w:numPr>
        <w:ilvl w:val="6"/>
        <w:numId w:val="2"/>
      </w:numPr>
      <w:spacing w:before="240" w:after="60" w:line="240" w:lineRule="auto"/>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qFormat/>
    <w:rsid w:val="00356E30"/>
    <w:pPr>
      <w:numPr>
        <w:ilvl w:val="7"/>
        <w:numId w:val="2"/>
      </w:numPr>
      <w:spacing w:before="240" w:after="60" w:line="240" w:lineRule="auto"/>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qFormat/>
    <w:rsid w:val="00356E30"/>
    <w:pPr>
      <w:numPr>
        <w:ilvl w:val="8"/>
        <w:numId w:val="2"/>
      </w:num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E30"/>
  </w:style>
  <w:style w:type="paragraph" w:styleId="Footer">
    <w:name w:val="footer"/>
    <w:basedOn w:val="Normal"/>
    <w:link w:val="FooterChar"/>
    <w:uiPriority w:val="99"/>
    <w:unhideWhenUsed/>
    <w:rsid w:val="00356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E30"/>
  </w:style>
  <w:style w:type="table" w:styleId="TableGrid">
    <w:name w:val="Table Grid"/>
    <w:basedOn w:val="TableNormal"/>
    <w:uiPriority w:val="39"/>
    <w:rsid w:val="00356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73668"/>
    <w:rPr>
      <w:rFonts w:eastAsia="Times New Roman" w:cstheme="minorHAnsi"/>
      <w:b/>
      <w:caps/>
      <w:color w:val="4472C4" w:themeColor="accent1"/>
      <w:kern w:val="28"/>
      <w:sz w:val="24"/>
      <w:szCs w:val="24"/>
    </w:rPr>
  </w:style>
  <w:style w:type="character" w:customStyle="1" w:styleId="Heading2Char">
    <w:name w:val="Heading 2 Char"/>
    <w:aliases w:val="Heading 2a Char,Char Char Char Char"/>
    <w:basedOn w:val="DefaultParagraphFont"/>
    <w:link w:val="Heading2"/>
    <w:rsid w:val="005422D2"/>
    <w:rPr>
      <w:rFonts w:eastAsia="Times New Roman" w:cs="Times New Roman"/>
      <w:szCs w:val="20"/>
    </w:rPr>
  </w:style>
  <w:style w:type="character" w:customStyle="1" w:styleId="Heading3Char">
    <w:name w:val="Heading 3 Char"/>
    <w:basedOn w:val="DefaultParagraphFont"/>
    <w:link w:val="Heading3"/>
    <w:rsid w:val="00356E30"/>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356E30"/>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356E30"/>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356E30"/>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356E30"/>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356E30"/>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356E30"/>
    <w:rPr>
      <w:rFonts w:ascii="Arial" w:eastAsia="Times New Roman" w:hAnsi="Arial" w:cs="Times New Roman"/>
      <w:i/>
      <w:sz w:val="18"/>
      <w:szCs w:val="20"/>
    </w:rPr>
  </w:style>
  <w:style w:type="paragraph" w:styleId="ListParagraph">
    <w:name w:val="List Paragraph"/>
    <w:basedOn w:val="Normal"/>
    <w:uiPriority w:val="34"/>
    <w:qFormat/>
    <w:rsid w:val="00356E30"/>
    <w:pPr>
      <w:ind w:left="720"/>
      <w:contextualSpacing/>
    </w:pPr>
  </w:style>
  <w:style w:type="character" w:styleId="Hyperlink">
    <w:name w:val="Hyperlink"/>
    <w:basedOn w:val="DefaultParagraphFont"/>
    <w:unhideWhenUsed/>
    <w:rsid w:val="00356E30"/>
    <w:rPr>
      <w:color w:val="0000FF"/>
      <w:u w:val="single"/>
    </w:rPr>
  </w:style>
  <w:style w:type="paragraph" w:styleId="NormalWeb">
    <w:name w:val="Normal (Web)"/>
    <w:basedOn w:val="Normal"/>
    <w:uiPriority w:val="99"/>
    <w:unhideWhenUsed/>
    <w:rsid w:val="001429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42937"/>
    <w:rPr>
      <w:b/>
      <w:bCs/>
    </w:rPr>
  </w:style>
  <w:style w:type="paragraph" w:styleId="ListBullet">
    <w:name w:val="List Bullet"/>
    <w:basedOn w:val="Normal"/>
    <w:uiPriority w:val="99"/>
    <w:unhideWhenUsed/>
    <w:rsid w:val="005422D2"/>
    <w:pPr>
      <w:numPr>
        <w:numId w:val="32"/>
      </w:numPr>
      <w:contextualSpacing/>
    </w:pPr>
  </w:style>
  <w:style w:type="paragraph" w:styleId="ListBullet2">
    <w:name w:val="List Bullet 2"/>
    <w:basedOn w:val="Normal"/>
    <w:uiPriority w:val="99"/>
    <w:unhideWhenUsed/>
    <w:rsid w:val="005422D2"/>
    <w:pPr>
      <w:numPr>
        <w:numId w:val="33"/>
      </w:numPr>
      <w:contextualSpacing/>
    </w:pPr>
  </w:style>
  <w:style w:type="paragraph" w:styleId="ListBullet3">
    <w:name w:val="List Bullet 3"/>
    <w:basedOn w:val="Normal"/>
    <w:uiPriority w:val="99"/>
    <w:unhideWhenUsed/>
    <w:rsid w:val="000864F9"/>
    <w:pPr>
      <w:numPr>
        <w:numId w:val="34"/>
      </w:numPr>
      <w:tabs>
        <w:tab w:val="clear" w:pos="926"/>
        <w:tab w:val="left" w:pos="1508"/>
      </w:tabs>
      <w:spacing w:line="276" w:lineRule="auto"/>
      <w:ind w:left="1077" w:hanging="357"/>
      <w:contextualSpacing/>
    </w:pPr>
  </w:style>
  <w:style w:type="paragraph" w:customStyle="1" w:styleId="Section">
    <w:name w:val="Section"/>
    <w:basedOn w:val="Normal"/>
    <w:qFormat/>
    <w:rsid w:val="009753DD"/>
    <w:pPr>
      <w:spacing w:after="240"/>
    </w:pPr>
    <w:rPr>
      <w:rFonts w:cstheme="minorHAnsi"/>
      <w:b/>
      <w:bCs/>
      <w:color w:val="4472C4" w:themeColor="accent1"/>
      <w:sz w:val="28"/>
      <w:szCs w:val="24"/>
    </w:rPr>
  </w:style>
  <w:style w:type="paragraph" w:styleId="Title">
    <w:name w:val="Title"/>
    <w:basedOn w:val="Normal"/>
    <w:next w:val="Normal"/>
    <w:link w:val="TitleChar"/>
    <w:uiPriority w:val="10"/>
    <w:qFormat/>
    <w:rsid w:val="00273668"/>
    <w:pPr>
      <w:spacing w:after="0" w:line="240" w:lineRule="auto"/>
      <w:contextualSpacing/>
      <w:jc w:val="center"/>
    </w:pPr>
    <w:rPr>
      <w:rFonts w:eastAsiaTheme="majorEastAsia" w:cstheme="majorBidi"/>
      <w:b/>
      <w:color w:val="2E74B5" w:themeColor="accent5" w:themeShade="BF"/>
      <w:spacing w:val="-10"/>
      <w:kern w:val="28"/>
      <w:sz w:val="28"/>
      <w:szCs w:val="56"/>
    </w:rPr>
  </w:style>
  <w:style w:type="character" w:customStyle="1" w:styleId="TitleChar">
    <w:name w:val="Title Char"/>
    <w:basedOn w:val="DefaultParagraphFont"/>
    <w:link w:val="Title"/>
    <w:uiPriority w:val="10"/>
    <w:rsid w:val="00273668"/>
    <w:rPr>
      <w:rFonts w:eastAsiaTheme="majorEastAsia" w:cstheme="majorBidi"/>
      <w:b/>
      <w:color w:val="2E74B5" w:themeColor="accent5" w:themeShade="BF"/>
      <w:spacing w:val="-10"/>
      <w:kern w:val="28"/>
      <w:sz w:val="28"/>
      <w:szCs w:val="56"/>
    </w:rPr>
  </w:style>
  <w:style w:type="character" w:styleId="FollowedHyperlink">
    <w:name w:val="FollowedHyperlink"/>
    <w:basedOn w:val="DefaultParagraphFont"/>
    <w:uiPriority w:val="99"/>
    <w:semiHidden/>
    <w:unhideWhenUsed/>
    <w:rsid w:val="00CD4556"/>
    <w:rPr>
      <w:color w:val="954F72" w:themeColor="followedHyperlink"/>
      <w:u w:val="single"/>
    </w:rPr>
  </w:style>
  <w:style w:type="character" w:styleId="UnresolvedMention">
    <w:name w:val="Unresolved Mention"/>
    <w:basedOn w:val="DefaultParagraphFont"/>
    <w:uiPriority w:val="99"/>
    <w:semiHidden/>
    <w:unhideWhenUsed/>
    <w:rsid w:val="00D15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walford.mill@nhs.net" TargetMode="External"/><Relationship Id="rId26" Type="http://schemas.openxmlformats.org/officeDocument/2006/relationships/hyperlink" Target="mailto:walford.mill@nhs.net" TargetMode="External"/><Relationship Id="rId39" Type="http://schemas.openxmlformats.org/officeDocument/2006/relationships/hyperlink" Target="https://ico.org.uk/media/for-organisations/documents/1043419/exemption-for-environmental-information-section-39.pdf" TargetMode="External"/><Relationship Id="rId21" Type="http://schemas.openxmlformats.org/officeDocument/2006/relationships/hyperlink" Target="mailto:walford.mill@nhs.net" TargetMode="External"/><Relationship Id="rId34" Type="http://schemas.openxmlformats.org/officeDocument/2006/relationships/hyperlink" Target="https://ico.org.uk/media/for-organisations/documents/1214/the_prejudice_test.pdf" TargetMode="External"/><Relationship Id="rId42" Type="http://schemas.openxmlformats.org/officeDocument/2006/relationships/hyperlink" Target="https://ico.org.uk/media/for-organisations/documents/1432163/information-provided-in-confidence-section-41.pdf" TargetMode="External"/><Relationship Id="rId47" Type="http://schemas.openxmlformats.org/officeDocument/2006/relationships/hyperlink" Target="https://ico.org.uk/for-organisations/section-23-security-bodies/" TargetMode="External"/><Relationship Id="rId50" Type="http://schemas.openxmlformats.org/officeDocument/2006/relationships/hyperlink" Target="https://ico.org.uk/for-organisations/section-27-international-relations/" TargetMode="External"/><Relationship Id="rId55" Type="http://schemas.openxmlformats.org/officeDocument/2006/relationships/hyperlink" Target="https://ico.org.uk/media/for-organisations/documents/1210/public-audit-functions-s33-foi-guidance.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ico.gov.uk/for_organisations/guidance_index/~/media/documents/library/Freedom_of_Information/Practical_application/can_i_charge_for_information.ashx" TargetMode="External"/><Relationship Id="rId20" Type="http://schemas.openxmlformats.org/officeDocument/2006/relationships/hyperlink" Target="mailto:walford.mill@nhs.net" TargetMode="External"/><Relationship Id="rId29" Type="http://schemas.openxmlformats.org/officeDocument/2006/relationships/hyperlink" Target="mailto:walfordmill@nhs.net" TargetMode="External"/><Relationship Id="rId41" Type="http://schemas.openxmlformats.org/officeDocument/2006/relationships/hyperlink" Target="https://ico.org.uk/media/for-organisations/documents/1213/personal-information-section-40-regulation-13.pdf" TargetMode="External"/><Relationship Id="rId54" Type="http://schemas.openxmlformats.org/officeDocument/2006/relationships/hyperlink" Target="https://ico.org.uk/media/for-organisations/documents/1207/law-enforcement-foi-section-31.pdf"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walford.mill@nhs.net" TargetMode="External"/><Relationship Id="rId32" Type="http://schemas.openxmlformats.org/officeDocument/2006/relationships/hyperlink" Target="https://ico.org.uk/media/for-organisations/documents/1198/dealing-with-vexatious-requests.pdf" TargetMode="External"/><Relationship Id="rId37" Type="http://schemas.openxmlformats.org/officeDocument/2006/relationships/hyperlink" Target="https://ico.org.uk/media/for-organisations/documents/2021/2619028/s32-court-inquiry-and-arbitration-records.pdf" TargetMode="External"/><Relationship Id="rId40" Type="http://schemas.openxmlformats.org/officeDocument/2006/relationships/hyperlink" Target="https://ico.org.uk/media/for-organisations/documents/2021/2619029/s40-personal-data-of-both-the-requester-and-others-foi-eir-final-version-21.pdf" TargetMode="External"/><Relationship Id="rId45" Type="http://schemas.openxmlformats.org/officeDocument/2006/relationships/hyperlink" Target="https://ico.org.uk/media/for-organisations/documents/1186/section-44-prohibitions-on-disclosure.pdf" TargetMode="External"/><Relationship Id="rId53" Type="http://schemas.openxmlformats.org/officeDocument/2006/relationships/hyperlink" Target="https://ico.org.uk/media/for-organisations/documents/1205/investigations-and-proceedings-foi-section-30.pdf" TargetMode="External"/><Relationship Id="rId58" Type="http://schemas.openxmlformats.org/officeDocument/2006/relationships/hyperlink" Target="https://ico.org.uk/media/for-organisations/documents/2260075/prejudice-to-the-effective-conduct-of-public-affairs-section-36-v31.pdf" TargetMode="External"/><Relationship Id="rId5" Type="http://schemas.openxmlformats.org/officeDocument/2006/relationships/numbering" Target="numbering.xml"/><Relationship Id="rId15" Type="http://schemas.openxmlformats.org/officeDocument/2006/relationships/hyperlink" Target="http://www.ico.org.uk/for_organisations/guidance_index/~/media/documents/library/Freedom_of_Information/Detailed_specialist_guides/datasets-foi-guidance.pdf" TargetMode="External"/><Relationship Id="rId23" Type="http://schemas.openxmlformats.org/officeDocument/2006/relationships/hyperlink" Target="mailto:walford.mill@nhs.net" TargetMode="External"/><Relationship Id="rId28" Type="http://schemas.openxmlformats.org/officeDocument/2006/relationships/hyperlink" Target="mailto:walford.mill@nhs.net" TargetMode="External"/><Relationship Id="rId36" Type="http://schemas.openxmlformats.org/officeDocument/2006/relationships/hyperlink" Target="https://ico.org.uk/media/for-organisations/documents/1172/information-intended-for-future-publication-and-research-information-sections-22-and-22a-foi.pdf" TargetMode="External"/><Relationship Id="rId49" Type="http://schemas.openxmlformats.org/officeDocument/2006/relationships/hyperlink" Target="https://ico.org.uk/media/for-organisations/documents/1181/defence-section-26-foia-guidance.pdf" TargetMode="External"/><Relationship Id="rId57" Type="http://schemas.openxmlformats.org/officeDocument/2006/relationships/hyperlink" Target="https://ico.org.uk/media/for-organisations/documents/2260003/section-35-government-policy.pdf" TargetMode="Externa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walford.mill@nhs.net" TargetMode="External"/><Relationship Id="rId31" Type="http://schemas.openxmlformats.org/officeDocument/2006/relationships/hyperlink" Target="mailto:walfordmill@nhs.net" TargetMode="External"/><Relationship Id="rId44" Type="http://schemas.openxmlformats.org/officeDocument/2006/relationships/hyperlink" Target="https://ico.org.uk/for-organisations/section-43-commercial-interests/" TargetMode="External"/><Relationship Id="rId52" Type="http://schemas.openxmlformats.org/officeDocument/2006/relationships/hyperlink" Target="https://ico.org.uk/media/for-organisations/documents/2021/2619027/s29-the-economy.pdf" TargetMode="External"/><Relationship Id="rId60" Type="http://schemas.openxmlformats.org/officeDocument/2006/relationships/hyperlink" Target="https://ico.org.uk/media/for-organisations/documents/1194/communications_with_her_majesty_and_the_awarding_of_honour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tionalarchives.gov.uk/doc/open-government-licence/version/2/" TargetMode="External"/><Relationship Id="rId22" Type="http://schemas.openxmlformats.org/officeDocument/2006/relationships/hyperlink" Target="mailto:walford.mill@nhs.net" TargetMode="External"/><Relationship Id="rId27" Type="http://schemas.openxmlformats.org/officeDocument/2006/relationships/hyperlink" Target="mailto:walford.mill@nhs.net" TargetMode="External"/><Relationship Id="rId30" Type="http://schemas.openxmlformats.org/officeDocument/2006/relationships/hyperlink" Target="mailto:walfordmill@nhs.net" TargetMode="External"/><Relationship Id="rId35" Type="http://schemas.openxmlformats.org/officeDocument/2006/relationships/hyperlink" Target="https://ico.org.uk/media/for-organisations/documents/1203/information-reasonably-accessible-to-the-applicant-by-other-means-sec21.pdf" TargetMode="External"/><Relationship Id="rId43" Type="http://schemas.openxmlformats.org/officeDocument/2006/relationships/hyperlink" Target="https://ico.org.uk/media/for-organisations/documents/1208/legal_professional_privilege_exemption_s42.pdf" TargetMode="External"/><Relationship Id="rId48" Type="http://schemas.openxmlformats.org/officeDocument/2006/relationships/hyperlink" Target="https://ico.org.uk/for-organisations/section-24-safeguarding-national-security/" TargetMode="External"/><Relationship Id="rId56" Type="http://schemas.openxmlformats.org/officeDocument/2006/relationships/hyperlink" Target="https://ico.org.uk/media/for-organisations/documents/1161/section_34_parliamentary_privilege.pdf" TargetMode="External"/><Relationship Id="rId8" Type="http://schemas.openxmlformats.org/officeDocument/2006/relationships/webSettings" Target="webSettings.xml"/><Relationship Id="rId51" Type="http://schemas.openxmlformats.org/officeDocument/2006/relationships/hyperlink" Target="https://ico.org.uk/for-organisations/section-28-relations-within-the-uk/"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walford.mill@nhs.net" TargetMode="External"/><Relationship Id="rId25" Type="http://schemas.openxmlformats.org/officeDocument/2006/relationships/hyperlink" Target="mailto:walford.mill@nhs.net" TargetMode="External"/><Relationship Id="rId33" Type="http://schemas.openxmlformats.org/officeDocument/2006/relationships/hyperlink" Target="https://ico.org.uk/for-organisations/dealing-with-repeat-requests/" TargetMode="External"/><Relationship Id="rId38" Type="http://schemas.openxmlformats.org/officeDocument/2006/relationships/hyperlink" Target="https://ico.org.uk/for-organisations/section-38-health-and-safety/" TargetMode="External"/><Relationship Id="rId46" Type="http://schemas.openxmlformats.org/officeDocument/2006/relationships/hyperlink" Target="https://ico.org.uk/media/for-organisations/documents/1183/the_public_interest_test.pdf" TargetMode="External"/><Relationship Id="rId59" Type="http://schemas.openxmlformats.org/officeDocument/2006/relationships/hyperlink" Target="https://ico.org.uk/media/for-organisations/documents/2260004/record-of-the-qualified-persons-opinion.doc"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4.png@01D5961D.4956C920"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cid:image004.png@01D5961D.4956C92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F68838ABBAE24C9B08C4ECFC3B65D8" ma:contentTypeVersion="8" ma:contentTypeDescription="Create a new document." ma:contentTypeScope="" ma:versionID="999709302d11cb98e497a5ec29305ca1">
  <xsd:schema xmlns:xsd="http://www.w3.org/2001/XMLSchema" xmlns:xs="http://www.w3.org/2001/XMLSchema" xmlns:p="http://schemas.microsoft.com/office/2006/metadata/properties" xmlns:ns2="c7d41ce6-aca4-4397-ab28-636142e08544" targetNamespace="http://schemas.microsoft.com/office/2006/metadata/properties" ma:root="true" ma:fieldsID="6aa431f23bacd196ca5171a502df16f9" ns2:_="">
    <xsd:import namespace="c7d41ce6-aca4-4397-ab28-636142e085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41ce6-aca4-4397-ab28-636142e08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3EB6B3-0AD5-4C37-B290-4B033C9DA8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85632A-6CCB-4C49-B353-6C6D7B6FE6E6}">
  <ds:schemaRefs>
    <ds:schemaRef ds:uri="http://schemas.openxmlformats.org/officeDocument/2006/bibliography"/>
  </ds:schemaRefs>
</ds:datastoreItem>
</file>

<file path=customXml/itemProps3.xml><?xml version="1.0" encoding="utf-8"?>
<ds:datastoreItem xmlns:ds="http://schemas.openxmlformats.org/officeDocument/2006/customXml" ds:itemID="{708A8EB9-E40B-40B8-A783-D0AE41CA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41ce6-aca4-4397-ab28-636142e08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BCA79C-AA95-4307-93BE-FE02EBA7D0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33</Pages>
  <Words>11099</Words>
  <Characters>63270</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 DPO</dc:creator>
  <cp:keywords/>
  <dc:description/>
  <cp:lastModifiedBy>Sarah Faulkner (Walford Mill Medical Centre)</cp:lastModifiedBy>
  <cp:revision>13</cp:revision>
  <cp:lastPrinted>2021-05-04T15:43:00Z</cp:lastPrinted>
  <dcterms:created xsi:type="dcterms:W3CDTF">2025-04-08T10:41:00Z</dcterms:created>
  <dcterms:modified xsi:type="dcterms:W3CDTF">2025-06-10T14:53:00Z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0x010100BDF68838ABBAE24C9B08C4ECFC3B65D8</vt:lpwstr>
  </property>
  <property fmtid="{D5CDD505-2E9C-101B-9397-08002B2CF9AE}" pid="3" name="Order">
    <vt:r8>420400</vt:r8>
  </property>
</Properties>
</file>